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jc w:val="both"/>
        <w:rPr>
          <w:b/>
          <w:bCs/>
          <w:sz w:val="28"/>
          <w:szCs w:val="24"/>
          <w:lang w:val="en-US" w:eastAsia="zh-CN"/>
        </w:rPr>
      </w:pPr>
      <w:r>
        <w:rPr>
          <w:rFonts w:eastAsia="Batang"/>
          <w:b/>
          <w:bCs/>
          <w:sz w:val="28"/>
          <w:szCs w:val="24"/>
          <w:lang w:eastAsia="en-US"/>
        </w:rPr>
        <w:t>3GPP TSG RAN WG1 #11</w:t>
      </w:r>
      <w:r>
        <w:rPr>
          <w:rFonts w:hint="eastAsia"/>
          <w:b/>
          <w:bCs/>
          <w:sz w:val="28"/>
          <w:szCs w:val="24"/>
          <w:lang w:val="en-US" w:eastAsia="zh-CN"/>
        </w:rPr>
        <w:t>2</w:t>
      </w:r>
      <w:r>
        <w:rPr>
          <w:rFonts w:eastAsia="Batang"/>
          <w:b/>
          <w:bCs/>
          <w:sz w:val="28"/>
          <w:szCs w:val="24"/>
          <w:lang w:eastAsia="en-US"/>
        </w:rPr>
        <w:tab/>
      </w:r>
      <w:r>
        <w:rPr>
          <w:rFonts w:eastAsia="Batang"/>
          <w:b/>
          <w:bCs/>
          <w:sz w:val="28"/>
          <w:szCs w:val="24"/>
          <w:lang w:eastAsia="en-US"/>
        </w:rPr>
        <w:tab/>
      </w:r>
      <w:r>
        <w:rPr>
          <w:rFonts w:eastAsia="Batang"/>
          <w:b/>
          <w:bCs/>
          <w:sz w:val="28"/>
          <w:szCs w:val="24"/>
          <w:lang w:eastAsia="en-US"/>
        </w:rPr>
        <w:t xml:space="preserve">                                </w:t>
      </w:r>
      <w:r>
        <w:rPr>
          <w:rFonts w:hint="eastAsia"/>
          <w:b/>
          <w:bCs/>
          <w:sz w:val="28"/>
          <w:szCs w:val="24"/>
          <w:lang w:val="en-US" w:eastAsia="zh-CN"/>
        </w:rPr>
        <w:t>R1-2301020</w:t>
      </w:r>
    </w:p>
    <w:p>
      <w:pPr>
        <w:widowControl w:val="0"/>
        <w:spacing w:after="0"/>
        <w:jc w:val="both"/>
        <w:rPr>
          <w:sz w:val="24"/>
          <w:szCs w:val="24"/>
          <w:lang w:eastAsia="zh-CN"/>
        </w:rPr>
      </w:pPr>
      <w:r>
        <w:rPr>
          <w:rFonts w:hint="eastAsia"/>
          <w:b/>
          <w:bCs/>
          <w:sz w:val="28"/>
          <w:szCs w:val="24"/>
          <w:lang w:val="en-US" w:eastAsia="zh-CN"/>
        </w:rPr>
        <w:t>Athens, Greece</w:t>
      </w:r>
      <w:r>
        <w:rPr>
          <w:rFonts w:eastAsia="Batang"/>
          <w:b/>
          <w:bCs/>
          <w:sz w:val="28"/>
          <w:szCs w:val="24"/>
          <w:lang w:eastAsia="en-US"/>
        </w:rPr>
        <w:t>, February 27</w:t>
      </w:r>
      <w:r>
        <w:rPr>
          <w:rFonts w:eastAsia="Batang"/>
          <w:b/>
          <w:bCs/>
          <w:sz w:val="28"/>
          <w:szCs w:val="24"/>
          <w:vertAlign w:val="superscript"/>
          <w:lang w:eastAsia="en-US"/>
        </w:rPr>
        <w:t>th</w:t>
      </w:r>
      <w:r>
        <w:rPr>
          <w:rFonts w:eastAsia="Batang"/>
          <w:b/>
          <w:bCs/>
          <w:sz w:val="28"/>
          <w:szCs w:val="24"/>
          <w:lang w:eastAsia="en-US"/>
        </w:rPr>
        <w:t xml:space="preserve"> – March 3</w:t>
      </w:r>
      <w:r>
        <w:rPr>
          <w:rFonts w:eastAsia="Batang"/>
          <w:b/>
          <w:bCs/>
          <w:sz w:val="28"/>
          <w:szCs w:val="24"/>
          <w:vertAlign w:val="superscript"/>
          <w:lang w:eastAsia="en-US"/>
        </w:rPr>
        <w:t>rd</w:t>
      </w:r>
      <w:r>
        <w:rPr>
          <w:rFonts w:eastAsia="Batang"/>
          <w:b/>
          <w:bCs/>
          <w:sz w:val="28"/>
          <w:szCs w:val="24"/>
          <w:lang w:eastAsia="en-US"/>
        </w:rPr>
        <w:t>, 2023</w:t>
      </w:r>
    </w:p>
    <w:p>
      <w:pPr>
        <w:widowControl w:val="0"/>
        <w:spacing w:after="0"/>
        <w:jc w:val="both"/>
        <w:rPr>
          <w:sz w:val="24"/>
          <w:szCs w:val="24"/>
          <w:lang w:eastAsia="zh-CN"/>
        </w:rPr>
      </w:pPr>
    </w:p>
    <w:p>
      <w:pPr>
        <w:pStyle w:val="105"/>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5"/>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Discussion on XR-specific capacity enhancements</w:t>
      </w:r>
    </w:p>
    <w:p>
      <w:pPr>
        <w:pStyle w:val="105"/>
        <w:spacing w:after="0"/>
        <w:rPr>
          <w:rFonts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9.10.</w:t>
      </w:r>
      <w:r>
        <w:rPr>
          <w:rFonts w:hint="eastAsia" w:ascii="Times New Roman" w:hAnsi="Times New Roman"/>
          <w:sz w:val="24"/>
          <w:szCs w:val="24"/>
          <w:lang w:val="en-US" w:eastAsia="zh-CN"/>
        </w:rPr>
        <w:t>1</w:t>
      </w:r>
    </w:p>
    <w:p>
      <w:pPr>
        <w:pStyle w:val="105"/>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jc w:val="both"/>
        <w:rPr>
          <w:rFonts w:ascii="Times New Roman" w:hAnsi="Times New Roman"/>
        </w:rPr>
      </w:pPr>
      <w:bookmarkStart w:id="4" w:name="_Toc120549591"/>
      <w:r>
        <w:rPr>
          <w:rFonts w:ascii="Times New Roman" w:hAnsi="Times New Roman"/>
        </w:rPr>
        <w:t>Introduction</w:t>
      </w:r>
      <w:bookmarkEnd w:id="4"/>
    </w:p>
    <w:p>
      <w:pPr>
        <w:overflowPunct w:val="0"/>
        <w:autoSpaceDE w:val="0"/>
        <w:autoSpaceDN w:val="0"/>
        <w:adjustRightInd w:val="0"/>
        <w:spacing w:before="0"/>
        <w:ind w:right="-99"/>
        <w:jc w:val="both"/>
        <w:rPr>
          <w:color w:val="000000"/>
          <w:lang w:eastAsia="zh-CN"/>
        </w:rPr>
      </w:pPr>
      <w:r>
        <w:rPr>
          <w:color w:val="000000"/>
          <w:lang w:eastAsia="zh-CN"/>
        </w:rPr>
        <w:t xml:space="preserve">In the </w:t>
      </w:r>
      <w:r>
        <w:rPr>
          <w:rFonts w:hint="eastAsia"/>
          <w:color w:val="000000"/>
          <w:lang w:val="en-US" w:eastAsia="zh-CN"/>
        </w:rPr>
        <w:t xml:space="preserve">new WID on XR enhancements for NR approved in the </w:t>
      </w:r>
      <w:r>
        <w:rPr>
          <w:color w:val="000000"/>
          <w:lang w:eastAsia="zh-CN"/>
        </w:rPr>
        <w:t>last</w:t>
      </w:r>
      <w:r>
        <w:rPr>
          <w:rFonts w:hint="eastAsia"/>
          <w:color w:val="000000"/>
          <w:lang w:val="en-US" w:eastAsia="zh-CN"/>
        </w:rPr>
        <w:t xml:space="preserve"> RAN</w:t>
      </w:r>
      <w:r>
        <w:rPr>
          <w:color w:val="000000"/>
          <w:lang w:eastAsia="zh-CN"/>
        </w:rPr>
        <w:t xml:space="preserve"> </w:t>
      </w:r>
      <w:r>
        <w:rPr>
          <w:rFonts w:hint="eastAsia"/>
          <w:color w:val="000000"/>
          <w:lang w:val="en-US" w:eastAsia="zh-CN"/>
        </w:rPr>
        <w:t xml:space="preserve">#98-e </w:t>
      </w:r>
      <w:r>
        <w:rPr>
          <w:color w:val="000000"/>
          <w:lang w:eastAsia="zh-CN"/>
        </w:rPr>
        <w:t>meeting</w:t>
      </w:r>
      <w:r>
        <w:rPr>
          <w:rFonts w:hint="eastAsia"/>
          <w:color w:val="000000"/>
          <w:lang w:val="en-US" w:eastAsia="zh-CN"/>
        </w:rPr>
        <w:t xml:space="preserve"> </w:t>
      </w:r>
      <w:r>
        <w:rPr>
          <w:rFonts w:hint="eastAsia"/>
          <w:color w:val="000000"/>
          <w:lang w:val="en-US" w:eastAsia="zh-CN"/>
        </w:rPr>
        <w:fldChar w:fldCharType="begin"/>
      </w:r>
      <w:r>
        <w:rPr>
          <w:rFonts w:hint="eastAsia"/>
          <w:color w:val="000000"/>
          <w:lang w:val="en-US" w:eastAsia="zh-CN"/>
        </w:rPr>
        <w:instrText xml:space="preserve"> REF _Ref28043 \r \h </w:instrText>
      </w:r>
      <w:r>
        <w:rPr>
          <w:rFonts w:hint="eastAsia"/>
          <w:color w:val="000000"/>
          <w:lang w:val="en-US" w:eastAsia="zh-CN"/>
        </w:rPr>
        <w:fldChar w:fldCharType="separate"/>
      </w:r>
      <w:r>
        <w:rPr>
          <w:rFonts w:hint="eastAsia"/>
          <w:color w:val="000000"/>
          <w:lang w:val="en-US" w:eastAsia="zh-CN"/>
        </w:rPr>
        <w:t>[1]</w:t>
      </w:r>
      <w:r>
        <w:rPr>
          <w:rFonts w:hint="eastAsia"/>
          <w:color w:val="000000"/>
          <w:lang w:val="en-US" w:eastAsia="zh-CN"/>
        </w:rPr>
        <w:fldChar w:fldCharType="end"/>
      </w:r>
      <w:r>
        <w:rPr>
          <w:color w:val="000000"/>
          <w:lang w:eastAsia="zh-CN"/>
        </w:rPr>
        <w:t xml:space="preserve">, the </w:t>
      </w:r>
      <w:r>
        <w:rPr>
          <w:rFonts w:hint="eastAsia"/>
          <w:color w:val="000000"/>
          <w:lang w:val="en-US" w:eastAsia="zh-CN"/>
        </w:rPr>
        <w:t xml:space="preserve">objectives of Rel-18 XR WI are given as the </w:t>
      </w:r>
      <w:r>
        <w:rPr>
          <w:color w:val="000000"/>
          <w:lang w:eastAsia="zh-CN"/>
        </w:rPr>
        <w:t>following:</w:t>
      </w:r>
    </w:p>
    <w:p>
      <w:pPr>
        <w:jc w:val="both"/>
      </w:pPr>
      <w:r>
        <w:t>Specify the enhancements related to power saving:</w:t>
      </w:r>
    </w:p>
    <w:p>
      <w:pPr>
        <w:pStyle w:val="98"/>
        <w:jc w:val="both"/>
      </w:pPr>
      <w:r>
        <w:t>-</w:t>
      </w:r>
      <w:r>
        <w:tab/>
      </w:r>
      <w:r>
        <w:t>DRX support of XR frame rates corresponding to non-integer periodicities (through at least semi-static mechanisms e.g. RRC signalling) (RAN2).</w:t>
      </w:r>
    </w:p>
    <w:p>
      <w:pPr>
        <w:jc w:val="both"/>
      </w:pPr>
      <w:r>
        <w:t>Specify the enhancements related to capacity:</w:t>
      </w:r>
    </w:p>
    <w:p>
      <w:pPr>
        <w:pStyle w:val="99"/>
        <w:jc w:val="both"/>
      </w:pPr>
      <w:r>
        <w:t>-</w:t>
      </w:r>
      <w:r>
        <w:tab/>
      </w:r>
      <w:r>
        <w:t xml:space="preserve">Multiple CG PUSCH transmission occasions in a period of a single CG PUSCH configuration (RAN1, RAN2);  </w:t>
      </w:r>
    </w:p>
    <w:p>
      <w:pPr>
        <w:pStyle w:val="99"/>
        <w:jc w:val="both"/>
      </w:pPr>
      <w:r>
        <w:t>-</w:t>
      </w:r>
      <w:r>
        <w:tab/>
      </w:r>
      <w:r>
        <w:t>Dynamic indication of unused CG PUSCH occasion(s) based on UCI by the UE (RAN1);</w:t>
      </w:r>
    </w:p>
    <w:p>
      <w:pPr>
        <w:pStyle w:val="99"/>
        <w:jc w:val="both"/>
      </w:pPr>
      <w:r>
        <w:t>-</w:t>
      </w:r>
      <w:r>
        <w:tab/>
      </w:r>
      <w:r>
        <w:t>BSR enhancements including at least new BS Table(s); (RAN2);</w:t>
      </w:r>
    </w:p>
    <w:p>
      <w:pPr>
        <w:pStyle w:val="99"/>
        <w:jc w:val="both"/>
      </w:pPr>
      <w:r>
        <w:t>-</w:t>
      </w:r>
      <w:r>
        <w:tab/>
      </w:r>
      <w:r>
        <w:rPr>
          <w:rFonts w:hint="eastAsia"/>
        </w:rPr>
        <w:t>Delay reporting of buffered data</w:t>
      </w:r>
      <w:r>
        <w:t xml:space="preserve"> in uplink</w:t>
      </w:r>
      <w:r>
        <w:rPr>
          <w:rFonts w:hint="eastAsia"/>
        </w:rPr>
        <w:t>;</w:t>
      </w:r>
      <w:r>
        <w:t xml:space="preserve"> (RAN2);</w:t>
      </w:r>
    </w:p>
    <w:p>
      <w:pPr>
        <w:pStyle w:val="99"/>
        <w:jc w:val="both"/>
      </w:pPr>
      <w:r>
        <w:rPr>
          <w:rFonts w:hint="eastAsia"/>
        </w:rPr>
        <w:t>-</w:t>
      </w:r>
      <w:r>
        <w:rPr>
          <w:rFonts w:hint="eastAsia"/>
        </w:rPr>
        <w:tab/>
      </w:r>
      <w:r>
        <w:t>Provision of XR traffic assistance information for DL and UL (e.g. periodicity); (RAN2);</w:t>
      </w:r>
    </w:p>
    <w:p>
      <w:pPr>
        <w:pStyle w:val="99"/>
        <w:jc w:val="both"/>
      </w:pPr>
      <w:r>
        <w:t>-</w:t>
      </w:r>
      <w:r>
        <w:tab/>
      </w:r>
      <w:r>
        <w:t>Discard operation of PDU Sets (RAN2);</w:t>
      </w:r>
    </w:p>
    <w:p>
      <w:pPr>
        <w:pStyle w:val="98"/>
        <w:ind w:left="0" w:firstLine="0"/>
        <w:jc w:val="both"/>
        <w:rPr>
          <w:color w:val="000000"/>
          <w:lang w:eastAsia="zh-CN"/>
        </w:rPr>
      </w:pPr>
      <w:r>
        <w:t>Specify the enhancements for XR Awareness (RAN2, RAN3): TBD (detailed objectives will be further clarified at RAN#99 based on the conclusions of TR38.835, and work to be started only after RAN#99)</w:t>
      </w:r>
    </w:p>
    <w:p>
      <w:pPr>
        <w:overflowPunct w:val="0"/>
        <w:autoSpaceDE w:val="0"/>
        <w:autoSpaceDN w:val="0"/>
        <w:adjustRightInd w:val="0"/>
        <w:jc w:val="both"/>
        <w:textAlignment w:val="baseline"/>
        <w:rPr>
          <w:lang w:val="en-US" w:eastAsia="zh-CN"/>
        </w:rPr>
      </w:pPr>
      <w:r>
        <w:rPr>
          <w:rFonts w:hint="eastAsia" w:eastAsiaTheme="minorEastAsia"/>
          <w:lang w:eastAsia="zh-CN"/>
        </w:rPr>
        <w:t>I</w:t>
      </w:r>
      <w:r>
        <w:rPr>
          <w:rFonts w:eastAsiaTheme="minorEastAsia"/>
          <w:lang w:eastAsia="zh-CN"/>
        </w:rPr>
        <w:t xml:space="preserve">n this contribution, we will </w:t>
      </w:r>
      <w:r>
        <w:rPr>
          <w:rFonts w:hint="eastAsia" w:eastAsiaTheme="minorEastAsia"/>
          <w:lang w:val="en-US" w:eastAsia="zh-CN"/>
        </w:rPr>
        <w:t>further discuss the XR enhancements related to capacity from RAN1</w:t>
      </w:r>
      <w:r>
        <w:rPr>
          <w:rFonts w:eastAsiaTheme="minorEastAsia"/>
          <w:lang w:val="en-US" w:eastAsia="zh-CN"/>
        </w:rPr>
        <w:t>’</w:t>
      </w:r>
      <w:r>
        <w:rPr>
          <w:rFonts w:hint="eastAsia" w:eastAsiaTheme="minorEastAsia"/>
          <w:lang w:val="en-US" w:eastAsia="zh-CN"/>
        </w:rPr>
        <w:t>s perspective, including discussions on m</w:t>
      </w:r>
      <w:r>
        <w:t>ultiple CG PUSCH transmission occasions in a period of a single CG PUSCH configuration</w:t>
      </w:r>
      <w:r>
        <w:rPr>
          <w:rFonts w:hint="eastAsia"/>
          <w:lang w:val="en-US" w:eastAsia="zh-CN"/>
        </w:rPr>
        <w:t xml:space="preserve"> and discussions on the d</w:t>
      </w:r>
      <w:r>
        <w:t>ynamic indication of unused CG PUSCH occasion(s) based on UCI by the UE</w:t>
      </w:r>
      <w:r>
        <w:rPr>
          <w:rFonts w:hint="eastAsia"/>
          <w:lang w:val="en-US" w:eastAsia="zh-CN"/>
        </w:rPr>
        <w:t>.</w:t>
      </w:r>
    </w:p>
    <w:p>
      <w:pPr>
        <w:pStyle w:val="2"/>
        <w:numPr>
          <w:ilvl w:val="0"/>
          <w:numId w:val="6"/>
        </w:numPr>
        <w:jc w:val="both"/>
        <w:rPr>
          <w:rFonts w:ascii="Times New Roman" w:hAnsi="Times New Roman"/>
          <w:lang w:val="en-US" w:eastAsia="zh-CN"/>
        </w:rPr>
      </w:pPr>
      <w:r>
        <w:rPr>
          <w:rFonts w:ascii="Times New Roman" w:hAnsi="Times New Roman"/>
          <w:lang w:val="en-US" w:eastAsia="zh-CN"/>
        </w:rPr>
        <w:t>D</w:t>
      </w:r>
      <w:r>
        <w:rPr>
          <w:rFonts w:hint="eastAsia" w:ascii="Times New Roman" w:hAnsi="Times New Roman"/>
          <w:lang w:val="en-US" w:eastAsia="zh-CN"/>
        </w:rPr>
        <w:t>iscussion</w:t>
      </w:r>
    </w:p>
    <w:p>
      <w:pPr>
        <w:pStyle w:val="3"/>
        <w:jc w:val="both"/>
      </w:pPr>
      <w:r>
        <w:t>2.1 Multiple CG PUSCH transmission occasions in a period of a single CG PUSCH configuration</w:t>
      </w:r>
    </w:p>
    <w:p>
      <w:pPr>
        <w:jc w:val="both"/>
        <w:rPr>
          <w:lang w:val="en-GB" w:eastAsia="zh-CN"/>
        </w:rPr>
      </w:pPr>
      <w:r>
        <w:rPr>
          <w:rFonts w:eastAsiaTheme="minorEastAsia"/>
          <w:lang w:eastAsia="zh-CN"/>
        </w:rPr>
        <w:t xml:space="preserve">Due to the quasi-periodic characteristic </w:t>
      </w:r>
      <w:r>
        <w:rPr>
          <w:rFonts w:hint="eastAsia" w:eastAsiaTheme="minorEastAsia"/>
          <w:lang w:val="en-US" w:eastAsia="zh-CN"/>
        </w:rPr>
        <w:t xml:space="preserve">and low latency requirement </w:t>
      </w:r>
      <w:r>
        <w:rPr>
          <w:rFonts w:eastAsiaTheme="minorEastAsia"/>
          <w:lang w:eastAsia="zh-CN"/>
        </w:rPr>
        <w:t xml:space="preserve">of XR traffic, </w:t>
      </w:r>
      <w:r>
        <w:rPr>
          <w:rFonts w:hint="eastAsia" w:eastAsiaTheme="minorEastAsia"/>
          <w:lang w:val="en-US" w:eastAsia="zh-CN"/>
        </w:rPr>
        <w:t>configured grant (</w:t>
      </w:r>
      <w:r>
        <w:rPr>
          <w:rFonts w:eastAsiaTheme="minorEastAsia"/>
          <w:lang w:eastAsia="zh-CN"/>
        </w:rPr>
        <w:t>CG</w:t>
      </w:r>
      <w:r>
        <w:rPr>
          <w:rFonts w:hint="eastAsia" w:eastAsiaTheme="minorEastAsia"/>
          <w:lang w:val="en-US" w:eastAsia="zh-CN"/>
        </w:rPr>
        <w:t>)</w:t>
      </w:r>
      <w:r>
        <w:rPr>
          <w:rFonts w:eastAsiaTheme="minorEastAsia"/>
          <w:lang w:eastAsia="zh-CN"/>
        </w:rPr>
        <w:t xml:space="preserve"> can be </w:t>
      </w:r>
      <w:r>
        <w:rPr>
          <w:rFonts w:hint="eastAsia" w:eastAsiaTheme="minorEastAsia"/>
          <w:lang w:val="en-US" w:eastAsia="zh-CN"/>
        </w:rPr>
        <w:t xml:space="preserve">adopted </w:t>
      </w:r>
      <w:r>
        <w:rPr>
          <w:rFonts w:eastAsiaTheme="minorEastAsia"/>
          <w:lang w:eastAsia="zh-CN"/>
        </w:rPr>
        <w:t>to schedule the UL XR traffic. Compared with dynamic scheduling</w:t>
      </w:r>
      <w:r>
        <w:t>/</w:t>
      </w:r>
      <w:r>
        <w:rPr>
          <w:rFonts w:eastAsiaTheme="minorEastAsia"/>
          <w:lang w:eastAsia="zh-CN"/>
        </w:rPr>
        <w:t xml:space="preserve">grant (DG), CG can reduce </w:t>
      </w:r>
      <w:r>
        <w:rPr>
          <w:rFonts w:hint="eastAsia" w:eastAsiaTheme="minorEastAsia"/>
          <w:lang w:val="en-US" w:eastAsia="zh-CN"/>
        </w:rPr>
        <w:t xml:space="preserve">the </w:t>
      </w:r>
      <w:r>
        <w:rPr>
          <w:rFonts w:eastAsiaTheme="minorEastAsia"/>
          <w:lang w:eastAsia="zh-CN"/>
        </w:rPr>
        <w:t>dynamic signaling overhead and transmission delay introduced by SR and/or BSR.</w:t>
      </w:r>
      <w:r>
        <w:rPr>
          <w:rFonts w:hint="eastAsia" w:eastAsiaTheme="minorEastAsia"/>
          <w:lang w:val="en-US" w:eastAsia="zh-CN"/>
        </w:rPr>
        <w:t xml:space="preserve"> Considering </w:t>
      </w:r>
      <w:r>
        <w:rPr>
          <w:lang w:eastAsia="zh-CN"/>
        </w:rPr>
        <w:t xml:space="preserve">the large </w:t>
      </w:r>
      <w:r>
        <w:rPr>
          <w:rFonts w:hint="eastAsia"/>
          <w:lang w:val="en-US" w:eastAsia="zh-CN"/>
        </w:rPr>
        <w:t>frame</w:t>
      </w:r>
      <w:r>
        <w:rPr>
          <w:lang w:eastAsia="zh-CN"/>
        </w:rPr>
        <w:t xml:space="preserve"> size of</w:t>
      </w:r>
      <w:r>
        <w:rPr>
          <w:rFonts w:hint="eastAsia"/>
          <w:lang w:val="en-US" w:eastAsia="zh-CN"/>
        </w:rPr>
        <w:t xml:space="preserve"> </w:t>
      </w:r>
      <w:r>
        <w:rPr>
          <w:lang w:eastAsia="zh-CN"/>
        </w:rPr>
        <w:t>UL</w:t>
      </w:r>
      <w:r>
        <w:rPr>
          <w:rFonts w:hint="eastAsia"/>
          <w:lang w:val="en-US" w:eastAsia="zh-CN"/>
        </w:rPr>
        <w:t xml:space="preserve"> XR video </w:t>
      </w:r>
      <w:r>
        <w:rPr>
          <w:lang w:eastAsia="zh-CN"/>
        </w:rPr>
        <w:t xml:space="preserve">traffic, it may </w:t>
      </w:r>
      <w:r>
        <w:rPr>
          <w:rFonts w:hint="eastAsia"/>
          <w:lang w:val="en-US" w:eastAsia="zh-CN"/>
        </w:rPr>
        <w:t xml:space="preserve">require </w:t>
      </w:r>
      <w:r>
        <w:rPr>
          <w:lang w:eastAsia="zh-CN"/>
        </w:rPr>
        <w:t>multiple TBs to transmit a video frame</w:t>
      </w:r>
      <w:r>
        <w:rPr>
          <w:lang w:val="en-US" w:eastAsia="zh-CN"/>
        </w:rPr>
        <w:t xml:space="preserve"> and</w:t>
      </w:r>
      <w:r>
        <w:rPr>
          <w:rFonts w:hint="eastAsia"/>
          <w:lang w:val="en-US" w:eastAsia="zh-CN"/>
        </w:rPr>
        <w:t xml:space="preserve"> </w:t>
      </w:r>
      <w:r>
        <w:rPr>
          <w:lang w:val="en-US" w:eastAsia="zh-CN"/>
        </w:rPr>
        <w:t>o</w:t>
      </w:r>
      <w:r>
        <w:rPr>
          <w:rFonts w:hint="eastAsia"/>
          <w:lang w:val="en-US" w:eastAsia="zh-CN"/>
        </w:rPr>
        <w:t>ne</w:t>
      </w:r>
      <w:r>
        <w:rPr>
          <w:lang w:val="en-US" w:eastAsia="zh-CN"/>
        </w:rPr>
        <w:t xml:space="preserve"> of the Rel-18 XR enhancement scope</w:t>
      </w:r>
      <w:r>
        <w:rPr>
          <w:rFonts w:hint="eastAsia"/>
          <w:lang w:val="en-US" w:eastAsia="zh-CN"/>
        </w:rPr>
        <w:t>s</w:t>
      </w:r>
      <w:r>
        <w:rPr>
          <w:lang w:val="en-US" w:eastAsia="zh-CN"/>
        </w:rPr>
        <w:t xml:space="preserve"> is to </w:t>
      </w:r>
      <w:r>
        <w:rPr>
          <w:rFonts w:hint="eastAsia"/>
          <w:lang w:val="en-US" w:eastAsia="zh-CN"/>
        </w:rPr>
        <w:t xml:space="preserve"> support multiple PUSCH transmission occasions in a CG period</w:t>
      </w:r>
      <w:r>
        <w:rPr>
          <w:lang w:val="en-US" w:eastAsia="zh-CN"/>
        </w:rPr>
        <w:t xml:space="preserve">. Similar feature </w:t>
      </w:r>
      <w:r>
        <w:rPr>
          <w:rFonts w:hint="eastAsia"/>
          <w:lang w:val="en-US" w:eastAsia="zh-CN"/>
        </w:rPr>
        <w:t>has been supported in Rel-16 NR-U</w:t>
      </w:r>
      <w:r>
        <w:rPr>
          <w:lang w:val="en-US" w:eastAsia="zh-CN"/>
        </w:rPr>
        <w:t xml:space="preserve"> and t</w:t>
      </w:r>
      <w:r>
        <w:rPr>
          <w:rFonts w:hint="eastAsia"/>
          <w:lang w:val="en-US" w:eastAsia="zh-CN"/>
        </w:rPr>
        <w:t>he corresponding description in TS 38.214 is copied as below.</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9" w:type="dxa"/>
          </w:tcPr>
          <w:p>
            <w:pPr>
              <w:overflowPunct w:val="0"/>
              <w:autoSpaceDE w:val="0"/>
              <w:autoSpaceDN w:val="0"/>
              <w:adjustRightInd w:val="0"/>
              <w:jc w:val="both"/>
              <w:textAlignment w:val="baseline"/>
              <w:rPr>
                <w:lang w:val="en-US" w:eastAsia="zh-CN"/>
              </w:rPr>
            </w:pPr>
            <w:r>
              <w:rPr>
                <w:rFonts w:hint="eastAsia"/>
                <w:lang w:val="en-US" w:eastAsia="zh-CN"/>
              </w:rPr>
              <w:t>6.1.2.3</w:t>
            </w:r>
            <w:r>
              <w:rPr>
                <w:rFonts w:hint="eastAsia"/>
                <w:lang w:val="en-US" w:eastAsia="zh-CN"/>
              </w:rPr>
              <w:tab/>
            </w:r>
            <w:r>
              <w:rPr>
                <w:rFonts w:hint="eastAsia"/>
                <w:lang w:val="en-US" w:eastAsia="zh-CN"/>
              </w:rPr>
              <w:t>Resource allocation for uplink transmission with configured grant</w:t>
            </w:r>
          </w:p>
          <w:p>
            <w:pPr>
              <w:overflowPunct w:val="0"/>
              <w:autoSpaceDE w:val="0"/>
              <w:autoSpaceDN w:val="0"/>
              <w:adjustRightInd w:val="0"/>
              <w:jc w:val="both"/>
              <w:textAlignment w:val="baseline"/>
              <w:rPr>
                <w:color w:val="000000" w:themeColor="text1"/>
                <w:lang w:val="en-US" w:eastAsia="zh-CN"/>
              </w:rPr>
            </w:pPr>
            <w:r>
              <w:rPr>
                <w:rFonts w:hint="eastAsia"/>
                <w:color w:val="000000" w:themeColor="text1"/>
                <w:lang w:val="en-US" w:eastAsia="zh-CN"/>
              </w:rPr>
              <w:t>…</w:t>
            </w:r>
          </w:p>
          <w:p>
            <w:pPr>
              <w:overflowPunct w:val="0"/>
              <w:autoSpaceDE w:val="0"/>
              <w:autoSpaceDN w:val="0"/>
              <w:adjustRightInd w:val="0"/>
              <w:jc w:val="both"/>
              <w:textAlignment w:val="baseline"/>
              <w:rPr>
                <w:lang w:val="en-US" w:eastAsia="zh-CN"/>
              </w:rPr>
            </w:pPr>
            <w:r>
              <w:rPr>
                <w:color w:val="000000"/>
              </w:rPr>
              <w:t xml:space="preserve">A set of allowed periodicities </w:t>
            </w:r>
            <w:r>
              <w:rPr>
                <w:i/>
                <w:color w:val="000000"/>
              </w:rPr>
              <w:t xml:space="preserve">P </w:t>
            </w:r>
            <w:r>
              <w:rPr>
                <w:color w:val="000000"/>
              </w:rPr>
              <w:t xml:space="preserve">are defined in [12, TS 38.331]. </w:t>
            </w:r>
            <w:r>
              <w:rPr>
                <w:color w:val="000000" w:themeColor="text1"/>
                <w:lang w:eastAsia="zh-CN"/>
              </w:rPr>
              <w:t xml:space="preserve">The higher layer parameter </w:t>
            </w:r>
            <w:r>
              <w:rPr>
                <w:i/>
                <w:color w:val="000000" w:themeColor="text1"/>
                <w:lang w:eastAsia="zh-CN"/>
              </w:rPr>
              <w:t>cg-nrofSlots</w:t>
            </w:r>
            <w:r>
              <w:rPr>
                <w:color w:val="000000" w:themeColor="text1"/>
                <w:lang w:eastAsia="zh-CN"/>
              </w:rPr>
              <w:t xml:space="preserve">, provides the number of consecutive slots allocated within a configured grant period. The higher layer parameter </w:t>
            </w:r>
            <w:r>
              <w:rPr>
                <w:i/>
                <w:color w:val="000000" w:themeColor="text1"/>
                <w:lang w:eastAsia="zh-CN"/>
              </w:rPr>
              <w:t>cg-nrofPUSCH-InSlot</w:t>
            </w:r>
            <w:r>
              <w:rPr>
                <w:color w:val="000000" w:themeColor="text1"/>
                <w:lang w:eastAsia="zh-CN"/>
              </w:rPr>
              <w:t xml:space="preserve"> provides the number of consecutive PUSCH allocations within a slot, where the first PUSCH allocation follows the higher layer parameter </w:t>
            </w:r>
            <w:r>
              <w:rPr>
                <w:i/>
                <w:color w:val="000000" w:themeColor="text1"/>
                <w:lang w:eastAsia="zh-CN"/>
              </w:rPr>
              <w:t xml:space="preserve">timeDomainAllocation </w:t>
            </w:r>
            <w:r>
              <w:rPr>
                <w:color w:val="000000" w:themeColor="text1"/>
                <w:lang w:eastAsia="zh-CN"/>
              </w:rPr>
              <w:t xml:space="preserve">for Type 1 PUSCH transmission or </w:t>
            </w:r>
            <w:r>
              <w:rPr>
                <w:color w:val="000000" w:themeColor="text1"/>
              </w:rPr>
              <w:t>the higher layer configuration according to [10, TS 38.321], and UL grant received on the DCI for Type 2 PUSCH transmissions</w:t>
            </w:r>
            <w:r>
              <w:rPr>
                <w:color w:val="000000" w:themeColor="text1"/>
                <w:lang w:eastAsia="zh-CN"/>
              </w:rPr>
              <w:t>, and the remaining PUSCH allocations have the same length and PUSCH mapping type, and are appended following the previous allocations without any gaps. The same combination of start symbol and length and PUSCH mapping type repeats over the consecutively allocated slots.</w:t>
            </w:r>
          </w:p>
        </w:tc>
      </w:tr>
    </w:tbl>
    <w:p>
      <w:pPr>
        <w:jc w:val="both"/>
        <w:rPr>
          <w:lang w:val="en-US" w:eastAsia="zh-CN"/>
        </w:rPr>
      </w:pPr>
      <w:r>
        <w:rPr>
          <w:rFonts w:hint="eastAsia"/>
          <w:lang w:val="en-US" w:eastAsia="zh-CN"/>
        </w:rPr>
        <w:t xml:space="preserve">As shown in the above paragraph, the current specification allows the allocation of multiple </w:t>
      </w:r>
      <w:r>
        <w:rPr>
          <w:rFonts w:hint="eastAsia"/>
          <w:b/>
          <w:bCs/>
          <w:lang w:val="en-US" w:eastAsia="zh-CN"/>
        </w:rPr>
        <w:t>consecutive</w:t>
      </w:r>
      <w:r>
        <w:rPr>
          <w:rFonts w:hint="eastAsia"/>
          <w:lang w:val="en-US" w:eastAsia="zh-CN"/>
        </w:rPr>
        <w:t xml:space="preserve"> slots within a CG period. However, in the scenario of TDD transmission with typical DL/UL slot configurations, e.g., DDDSU, the UL slots are non-consecutive in most cases. Therefore, to transmit the XR video traffic with large frame sizes in the TDD scenario, it should be proposed to allocate multiple non-consecutive slots within a CG period. As illustrated in Figure 1, there are 3 non-consecutive CG slots allocated within a period of a single CG configuration.</w:t>
      </w:r>
    </w:p>
    <w:p>
      <w:pPr>
        <w:jc w:val="both"/>
        <w:rPr>
          <w:b/>
          <w:bCs/>
          <w:i/>
          <w:iCs/>
          <w:lang w:val="en-US" w:eastAsia="zh-CN"/>
        </w:rPr>
      </w:pPr>
      <w:r>
        <w:drawing>
          <wp:inline distT="0" distB="0" distL="114300" distR="114300">
            <wp:extent cx="6116955" cy="878205"/>
            <wp:effectExtent l="0" t="0" r="4445" b="1079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6116955" cy="878205"/>
                    </a:xfrm>
                    <a:prstGeom prst="rect">
                      <a:avLst/>
                    </a:prstGeom>
                    <a:noFill/>
                    <a:ln>
                      <a:noFill/>
                    </a:ln>
                  </pic:spPr>
                </pic:pic>
              </a:graphicData>
            </a:graphic>
          </wp:inline>
        </w:drawing>
      </w:r>
    </w:p>
    <w:p>
      <w:pPr>
        <w:jc w:val="center"/>
        <w:rPr>
          <w:b/>
          <w:bCs/>
          <w:lang w:val="en-US" w:eastAsia="zh-CN"/>
        </w:rPr>
      </w:pPr>
      <w:r>
        <w:rPr>
          <w:rFonts w:hint="eastAsia"/>
          <w:b/>
          <w:bCs/>
          <w:lang w:val="en-US" w:eastAsia="zh-CN"/>
        </w:rPr>
        <w:t xml:space="preserve">Figure 1. Illustration of multiple </w:t>
      </w:r>
      <w:r>
        <w:rPr>
          <w:b/>
          <w:bCs/>
          <w:lang w:val="en-US" w:eastAsia="zh-CN"/>
        </w:rPr>
        <w:t xml:space="preserve">non-consecutive CG-PUSCH </w:t>
      </w:r>
      <w:r>
        <w:rPr>
          <w:rFonts w:hint="eastAsia"/>
          <w:b/>
          <w:bCs/>
          <w:lang w:val="en-US" w:eastAsia="zh-CN"/>
        </w:rPr>
        <w:t>slots allocated in a</w:t>
      </w:r>
      <w:r>
        <w:rPr>
          <w:b/>
          <w:bCs/>
          <w:lang w:val="en-US" w:eastAsia="zh-CN"/>
        </w:rPr>
        <w:t xml:space="preserve"> CG</w:t>
      </w:r>
      <w:r>
        <w:rPr>
          <w:rFonts w:hint="eastAsia"/>
          <w:b/>
          <w:bCs/>
          <w:lang w:val="en-US" w:eastAsia="zh-CN"/>
        </w:rPr>
        <w:t xml:space="preserve"> period</w:t>
      </w:r>
    </w:p>
    <w:p>
      <w:pPr>
        <w:jc w:val="both"/>
        <w:rPr>
          <w:b/>
          <w:bCs/>
          <w:i/>
          <w:iCs/>
          <w:lang w:val="en-GB" w:eastAsia="zh-CN"/>
        </w:rPr>
      </w:pPr>
      <w:r>
        <w:rPr>
          <w:b/>
          <w:bCs/>
          <w:i/>
          <w:iCs/>
          <w:lang w:eastAsia="zh-CN"/>
        </w:rPr>
        <w:t>Proposal 1. Support to configure multiple non-consecutive PUSCH slots/occasions</w:t>
      </w:r>
      <w:r>
        <w:rPr>
          <w:rFonts w:hint="eastAsia"/>
          <w:b/>
          <w:bCs/>
          <w:i/>
          <w:iCs/>
          <w:lang w:val="en-US" w:eastAsia="zh-CN"/>
        </w:rPr>
        <w:t xml:space="preserve"> within a CG period. </w:t>
      </w:r>
    </w:p>
    <w:p>
      <w:pPr>
        <w:pStyle w:val="3"/>
        <w:jc w:val="both"/>
        <w:rPr>
          <w:lang w:val="en-US" w:eastAsia="zh-CN"/>
        </w:rPr>
      </w:pPr>
      <w:r>
        <w:rPr>
          <w:rFonts w:hint="eastAsia"/>
          <w:lang w:val="en-US" w:eastAsia="zh-CN"/>
        </w:rPr>
        <w:t>2.2 Dynamic indication of unused CG</w:t>
      </w:r>
      <w:bookmarkStart w:id="9" w:name="_GoBack"/>
      <w:bookmarkEnd w:id="9"/>
      <w:r>
        <w:rPr>
          <w:rFonts w:hint="eastAsia"/>
          <w:lang w:val="en-US" w:eastAsia="zh-CN"/>
        </w:rPr>
        <w:t xml:space="preserve"> PUSCH occasion(s)</w:t>
      </w:r>
    </w:p>
    <w:p>
      <w:pPr>
        <w:jc w:val="both"/>
        <w:rPr>
          <w:lang w:val="en-US" w:eastAsia="zh-CN"/>
        </w:rPr>
      </w:pPr>
      <w:r>
        <w:rPr>
          <w:rFonts w:hint="eastAsia" w:eastAsiaTheme="minorEastAsia"/>
          <w:lang w:val="en-US" w:eastAsia="zh-CN"/>
        </w:rPr>
        <w:t xml:space="preserve">According to the outcome in clause 5.1 of TR 38.838 </w:t>
      </w:r>
      <w:r>
        <w:rPr>
          <w:rFonts w:hint="eastAsia" w:eastAsiaTheme="minorEastAsia"/>
          <w:lang w:val="en-US" w:eastAsia="zh-CN"/>
        </w:rPr>
        <w:fldChar w:fldCharType="begin"/>
      </w:r>
      <w:r>
        <w:rPr>
          <w:rFonts w:hint="eastAsia" w:eastAsiaTheme="minorEastAsia"/>
          <w:lang w:val="en-US" w:eastAsia="zh-CN"/>
        </w:rPr>
        <w:instrText xml:space="preserve"> REF _Ref28170 \r \h </w:instrText>
      </w:r>
      <w:r>
        <w:rPr>
          <w:rFonts w:hint="eastAsia" w:eastAsiaTheme="minorEastAsia"/>
          <w:lang w:val="en-US" w:eastAsia="zh-CN"/>
        </w:rPr>
        <w:fldChar w:fldCharType="separate"/>
      </w:r>
      <w:r>
        <w:rPr>
          <w:rFonts w:hint="eastAsia" w:eastAsiaTheme="minorEastAsia"/>
          <w:lang w:val="en-US" w:eastAsia="zh-CN"/>
        </w:rPr>
        <w:t>[2]</w:t>
      </w:r>
      <w:r>
        <w:rPr>
          <w:rFonts w:hint="eastAsia" w:eastAsiaTheme="minorEastAsia"/>
          <w:lang w:val="en-US" w:eastAsia="zh-CN"/>
        </w:rPr>
        <w:fldChar w:fldCharType="end"/>
      </w:r>
      <w:r>
        <w:rPr>
          <w:rFonts w:hint="eastAsia" w:eastAsiaTheme="minorEastAsia"/>
          <w:lang w:val="en-US" w:eastAsia="zh-CN"/>
        </w:rPr>
        <w:t>, the XR frame size of a single stream follows truncated Gaussian distribution where the average size is determined by data rate and frame generation rate, and the maximum size is 3 times the minimum size. While in the case of multiple streams of XR traffic, the ratio between the sizes of two different XR frames can be even larger. As provided in section 2.1, m</w:t>
      </w:r>
      <w:r>
        <w:t>ultiple CG PUSCH transmission occasions</w:t>
      </w:r>
      <w:r>
        <w:rPr>
          <w:rFonts w:hint="eastAsia"/>
          <w:lang w:val="en-US" w:eastAsia="zh-CN"/>
        </w:rPr>
        <w:t xml:space="preserve"> can be allocated</w:t>
      </w:r>
      <w:r>
        <w:t xml:space="preserve"> in a period of a single CG PUSCH configuration</w:t>
      </w:r>
      <w:r>
        <w:rPr>
          <w:rFonts w:hint="eastAsia"/>
          <w:lang w:val="en-US" w:eastAsia="zh-CN"/>
        </w:rPr>
        <w:t>. C</w:t>
      </w:r>
      <w:r>
        <w:rPr>
          <w:lang w:eastAsia="zh-CN"/>
        </w:rPr>
        <w:t>onsidering the var</w:t>
      </w:r>
      <w:r>
        <w:rPr>
          <w:rFonts w:hint="eastAsia"/>
          <w:lang w:val="en-US" w:eastAsia="zh-CN"/>
        </w:rPr>
        <w:t>iable</w:t>
      </w:r>
      <w:r>
        <w:rPr>
          <w:lang w:eastAsia="zh-CN"/>
        </w:rPr>
        <w:t xml:space="preserve"> </w:t>
      </w:r>
      <w:r>
        <w:rPr>
          <w:rFonts w:hint="eastAsia"/>
          <w:lang w:val="en-US" w:eastAsia="zh-CN"/>
        </w:rPr>
        <w:t>frame</w:t>
      </w:r>
      <w:r>
        <w:rPr>
          <w:lang w:eastAsia="zh-CN"/>
        </w:rPr>
        <w:t xml:space="preserve"> size</w:t>
      </w:r>
      <w:r>
        <w:rPr>
          <w:rFonts w:hint="eastAsia"/>
          <w:lang w:val="en-US" w:eastAsia="zh-CN"/>
        </w:rPr>
        <w:t xml:space="preserve"> of the XR video frame</w:t>
      </w:r>
      <w:r>
        <w:rPr>
          <w:lang w:eastAsia="zh-CN"/>
        </w:rPr>
        <w:t>, the number of CG</w:t>
      </w:r>
      <w:r>
        <w:rPr>
          <w:rFonts w:hint="eastAsia"/>
          <w:lang w:val="en-US" w:eastAsia="zh-CN"/>
        </w:rPr>
        <w:t xml:space="preserve"> PUSCH</w:t>
      </w:r>
      <w:r>
        <w:rPr>
          <w:lang w:eastAsia="zh-CN"/>
        </w:rPr>
        <w:t xml:space="preserve"> occasions </w:t>
      </w:r>
      <w:r>
        <w:rPr>
          <w:rFonts w:hint="eastAsia"/>
          <w:lang w:val="en-US" w:eastAsia="zh-CN"/>
        </w:rPr>
        <w:t>is usually</w:t>
      </w:r>
      <w:r>
        <w:rPr>
          <w:lang w:eastAsia="zh-CN"/>
        </w:rPr>
        <w:t xml:space="preserve"> </w:t>
      </w:r>
      <w:r>
        <w:rPr>
          <w:rFonts w:hint="eastAsia"/>
          <w:lang w:val="en-US" w:eastAsia="zh-CN"/>
        </w:rPr>
        <w:t xml:space="preserve">semi-statically </w:t>
      </w:r>
      <w:r>
        <w:rPr>
          <w:lang w:eastAsia="zh-CN"/>
        </w:rPr>
        <w:t xml:space="preserve">configured based on </w:t>
      </w:r>
      <w:r>
        <w:rPr>
          <w:rFonts w:hint="eastAsia"/>
          <w:lang w:val="en-US" w:eastAsia="zh-CN"/>
        </w:rPr>
        <w:t>a relatively large frame size</w:t>
      </w:r>
      <w:r>
        <w:rPr>
          <w:lang w:eastAsia="zh-CN"/>
        </w:rPr>
        <w:t xml:space="preserve"> to </w:t>
      </w:r>
      <w:r>
        <w:rPr>
          <w:rFonts w:hint="eastAsia"/>
          <w:lang w:val="en-US" w:eastAsia="zh-CN"/>
        </w:rPr>
        <w:t xml:space="preserve">avoid requiring additional dynamic scheduling to </w:t>
      </w:r>
      <w:r>
        <w:rPr>
          <w:lang w:eastAsia="zh-CN"/>
        </w:rPr>
        <w:t xml:space="preserve">satisfy the PDB requirement, which will cause a waste of resources when </w:t>
      </w:r>
      <w:r>
        <w:rPr>
          <w:rFonts w:hint="eastAsia"/>
          <w:lang w:val="en-US" w:eastAsia="zh-CN"/>
        </w:rPr>
        <w:t xml:space="preserve">XR frames </w:t>
      </w:r>
      <w:r>
        <w:rPr>
          <w:lang w:eastAsia="zh-CN"/>
        </w:rPr>
        <w:t>with small sizes are transmitted.</w:t>
      </w:r>
      <w:r>
        <w:rPr>
          <w:rFonts w:hint="eastAsia"/>
          <w:lang w:val="en-US" w:eastAsia="zh-CN"/>
        </w:rPr>
        <w:t xml:space="preserve"> To handle this issue, dynamic indication of unused CG PUSCH occasions based on UCI by the UE</w:t>
      </w:r>
      <w:r>
        <w:rPr>
          <w:lang w:val="en-US" w:eastAsia="zh-CN"/>
        </w:rPr>
        <w:t xml:space="preserve"> is one of the scope</w:t>
      </w:r>
      <w:r>
        <w:rPr>
          <w:rFonts w:hint="eastAsia"/>
          <w:lang w:val="en-US" w:eastAsia="zh-CN"/>
        </w:rPr>
        <w:t>s</w:t>
      </w:r>
      <w:r>
        <w:rPr>
          <w:lang w:val="en-US" w:eastAsia="zh-CN"/>
        </w:rPr>
        <w:t xml:space="preserve"> of Rel-18 XR enhancement WI.</w:t>
      </w:r>
    </w:p>
    <w:p>
      <w:pPr>
        <w:jc w:val="both"/>
        <w:rPr>
          <w:rFonts w:eastAsiaTheme="minorEastAsia"/>
          <w:lang w:val="en-US" w:eastAsia="zh-CN"/>
        </w:rPr>
      </w:pPr>
      <w:r>
        <w:rPr>
          <w:rFonts w:hint="eastAsia" w:eastAsiaTheme="minorEastAsia"/>
          <w:lang w:val="en-US" w:eastAsia="zh-CN"/>
        </w:rPr>
        <w:t xml:space="preserve">To support dynamic indication of the unused CG PUSCH occasions, some issues need to be </w:t>
      </w:r>
      <w:r>
        <w:rPr>
          <w:rFonts w:eastAsiaTheme="minorEastAsia"/>
          <w:lang w:val="en-US" w:eastAsia="zh-CN"/>
        </w:rPr>
        <w:t>considered</w:t>
      </w:r>
      <w:r>
        <w:rPr>
          <w:rFonts w:hint="eastAsia" w:eastAsiaTheme="minorEastAsia"/>
          <w:lang w:val="en-US" w:eastAsia="zh-CN"/>
        </w:rPr>
        <w:t>, e.g.,</w:t>
      </w:r>
      <w:r>
        <w:rPr>
          <w:rFonts w:eastAsiaTheme="minorEastAsia"/>
          <w:lang w:val="en-US" w:eastAsia="zh-CN"/>
        </w:rPr>
        <w:t xml:space="preserve"> how to align the UCI periodicity and XR </w:t>
      </w:r>
      <w:r>
        <w:rPr>
          <w:rFonts w:hint="eastAsia" w:eastAsiaTheme="minorEastAsia"/>
          <w:lang w:val="en-US" w:eastAsia="zh-CN"/>
        </w:rPr>
        <w:t xml:space="preserve">traffic </w:t>
      </w:r>
      <w:r>
        <w:rPr>
          <w:rFonts w:eastAsiaTheme="minorEastAsia"/>
          <w:lang w:val="en-US" w:eastAsia="zh-CN"/>
        </w:rPr>
        <w:t xml:space="preserve">periodicity, </w:t>
      </w:r>
      <w:r>
        <w:rPr>
          <w:rFonts w:hint="eastAsia" w:eastAsiaTheme="minorEastAsia"/>
          <w:lang w:val="en-US" w:eastAsia="zh-CN"/>
        </w:rPr>
        <w:t>how to guarantee the reliability of the transmission of UCI, etc. We will discuss these issues in the following sections.</w:t>
      </w:r>
    </w:p>
    <w:p>
      <w:pPr>
        <w:pStyle w:val="4"/>
        <w:jc w:val="both"/>
        <w:rPr>
          <w:lang w:eastAsia="zh-CN"/>
        </w:rPr>
      </w:pPr>
      <w:r>
        <w:rPr>
          <w:rFonts w:hint="eastAsia"/>
          <w:lang w:eastAsia="zh-CN"/>
        </w:rPr>
        <w:t>2</w:t>
      </w:r>
      <w:r>
        <w:rPr>
          <w:lang w:eastAsia="zh-CN"/>
        </w:rPr>
        <w:t>.1.1 Un-alignment issue of UCI occasion and XR periodicity/jitter</w:t>
      </w:r>
    </w:p>
    <w:p>
      <w:pPr>
        <w:jc w:val="both"/>
        <w:rPr>
          <w:lang w:val="en-US" w:eastAsia="zh-CN"/>
        </w:rPr>
      </w:pPr>
      <w:r>
        <w:rPr>
          <w:lang w:val="en-US" w:eastAsia="zh-CN"/>
        </w:rPr>
        <w:t>W</w:t>
      </w:r>
      <w:r>
        <w:rPr>
          <w:rFonts w:hint="eastAsia"/>
          <w:lang w:val="en-US" w:eastAsia="zh-CN"/>
        </w:rPr>
        <w:t>hatever</w:t>
      </w:r>
      <w:r>
        <w:rPr>
          <w:lang w:val="en-US" w:eastAsia="zh-CN"/>
        </w:rPr>
        <w:t xml:space="preserve"> using UCI or CG-UCI to indicate the unused CG-PUSCH occasion</w:t>
      </w:r>
      <w:r>
        <w:rPr>
          <w:rFonts w:hint="eastAsia"/>
          <w:lang w:val="en-US" w:eastAsia="zh-CN"/>
        </w:rPr>
        <w:t>(s)</w:t>
      </w:r>
      <w:r>
        <w:rPr>
          <w:lang w:val="en-US" w:eastAsia="zh-CN"/>
        </w:rPr>
        <w:t>, there will be</w:t>
      </w:r>
      <w:r>
        <w:rPr>
          <w:rFonts w:hint="eastAsia"/>
          <w:lang w:val="en-US" w:eastAsia="zh-CN"/>
        </w:rPr>
        <w:t xml:space="preserve"> a misalignment</w:t>
      </w:r>
      <w:r>
        <w:rPr>
          <w:lang w:val="en-US" w:eastAsia="zh-CN"/>
        </w:rPr>
        <w:t xml:space="preserve"> issue </w:t>
      </w:r>
      <w:r>
        <w:rPr>
          <w:rFonts w:hint="eastAsia"/>
          <w:lang w:val="en-US" w:eastAsia="zh-CN"/>
        </w:rPr>
        <w:t>between the non-integer periodicity of XR traffic</w:t>
      </w:r>
      <w:r>
        <w:rPr>
          <w:lang w:val="en-US" w:eastAsia="zh-CN"/>
        </w:rPr>
        <w:t xml:space="preserve"> (e.g., 16.667ms) </w:t>
      </w:r>
      <w:r>
        <w:rPr>
          <w:rFonts w:hint="eastAsia"/>
          <w:lang w:val="en-US" w:eastAsia="zh-CN"/>
        </w:rPr>
        <w:t>with the presence of</w:t>
      </w:r>
      <w:r>
        <w:rPr>
          <w:lang w:val="en-US" w:eastAsia="zh-CN"/>
        </w:rPr>
        <w:t xml:space="preserve"> jitter</w:t>
      </w:r>
      <w:r>
        <w:rPr>
          <w:rFonts w:hint="eastAsia"/>
          <w:lang w:val="en-US" w:eastAsia="zh-CN"/>
        </w:rPr>
        <w:t xml:space="preserve"> and the integer periodicity of a CG </w:t>
      </w:r>
      <w:r>
        <w:rPr>
          <w:lang w:val="en-US" w:eastAsia="zh-CN"/>
        </w:rPr>
        <w:t xml:space="preserve">period/UCI </w:t>
      </w:r>
      <w:r>
        <w:rPr>
          <w:rFonts w:hint="eastAsia"/>
          <w:lang w:val="en-US" w:eastAsia="zh-CN"/>
        </w:rPr>
        <w:t xml:space="preserve">transmission </w:t>
      </w:r>
      <w:r>
        <w:rPr>
          <w:lang w:val="en-US" w:eastAsia="zh-CN"/>
        </w:rPr>
        <w:t xml:space="preserve">period. Thus, </w:t>
      </w:r>
      <w:r>
        <w:rPr>
          <w:rFonts w:hint="eastAsia"/>
          <w:lang w:val="en-US" w:eastAsia="zh-CN"/>
        </w:rPr>
        <w:t>it</w:t>
      </w:r>
      <w:r>
        <w:rPr>
          <w:lang w:val="en-US" w:eastAsia="zh-CN"/>
        </w:rPr>
        <w:t>’</w:t>
      </w:r>
      <w:r>
        <w:rPr>
          <w:rFonts w:hint="eastAsia"/>
          <w:lang w:val="en-US" w:eastAsia="zh-CN"/>
        </w:rPr>
        <w:t>s possible that the</w:t>
      </w:r>
      <w:r>
        <w:rPr>
          <w:lang w:val="en-US" w:eastAsia="zh-CN"/>
        </w:rPr>
        <w:t xml:space="preserve"> UL </w:t>
      </w:r>
      <w:r>
        <w:rPr>
          <w:rFonts w:hint="eastAsia"/>
          <w:lang w:val="en-US" w:eastAsia="zh-CN"/>
        </w:rPr>
        <w:t xml:space="preserve">XR video frame has not been </w:t>
      </w:r>
      <w:r>
        <w:rPr>
          <w:lang w:val="en-US" w:eastAsia="zh-CN"/>
        </w:rPr>
        <w:t>prepared</w:t>
      </w:r>
      <w:r>
        <w:rPr>
          <w:rFonts w:hint="eastAsia"/>
          <w:lang w:val="en-US" w:eastAsia="zh-CN"/>
        </w:rPr>
        <w:t xml:space="preserve"> </w:t>
      </w:r>
      <w:r>
        <w:rPr>
          <w:lang w:val="en-US" w:eastAsia="zh-CN"/>
        </w:rPr>
        <w:t>by</w:t>
      </w:r>
      <w:r>
        <w:rPr>
          <w:rFonts w:hint="eastAsia"/>
          <w:lang w:val="en-US" w:eastAsia="zh-CN"/>
        </w:rPr>
        <w:t xml:space="preserve"> UE </w:t>
      </w:r>
      <w:r>
        <w:rPr>
          <w:lang w:val="en-US" w:eastAsia="zh-CN"/>
        </w:rPr>
        <w:t>on</w:t>
      </w:r>
      <w:r>
        <w:rPr>
          <w:rFonts w:hint="eastAsia"/>
          <w:lang w:val="en-US" w:eastAsia="zh-CN"/>
        </w:rPr>
        <w:t xml:space="preserve"> the UCI</w:t>
      </w:r>
      <w:r>
        <w:rPr>
          <w:lang w:val="en-US" w:eastAsia="zh-CN"/>
        </w:rPr>
        <w:t xml:space="preserve"> transmission occasion</w:t>
      </w:r>
      <w:r>
        <w:rPr>
          <w:rFonts w:hint="eastAsia"/>
          <w:lang w:val="en-US" w:eastAsia="zh-CN"/>
        </w:rPr>
        <w:t xml:space="preserve">. In this case, UE may have no knowledge about the usage of PUSCH occasions in the associated CG period and the UCI sent by UE could not precisely indicate the unused CG PUSCH occasions. </w:t>
      </w:r>
      <w:r>
        <w:rPr>
          <w:lang w:val="en-US" w:eastAsia="zh-CN"/>
        </w:rPr>
        <w:t>As</w:t>
      </w:r>
      <w:r>
        <w:rPr>
          <w:rFonts w:hint="eastAsia"/>
          <w:lang w:val="en-US" w:eastAsia="zh-CN"/>
        </w:rPr>
        <w:t xml:space="preserve"> </w:t>
      </w:r>
      <w:r>
        <w:rPr>
          <w:lang w:val="en-US" w:eastAsia="zh-CN"/>
        </w:rPr>
        <w:t>illustrat</w:t>
      </w:r>
      <w:r>
        <w:rPr>
          <w:rFonts w:hint="eastAsia"/>
          <w:lang w:val="en-US" w:eastAsia="zh-CN"/>
        </w:rPr>
        <w:t>ed</w:t>
      </w:r>
      <w:r>
        <w:rPr>
          <w:lang w:val="en-US" w:eastAsia="zh-CN"/>
        </w:rPr>
        <w:t xml:space="preserve"> in Figure 2 with system configuration of 30kHz SCS,</w:t>
      </w:r>
      <w:r>
        <w:rPr>
          <w:rFonts w:hint="eastAsia"/>
          <w:lang w:val="en-US" w:eastAsia="zh-CN"/>
        </w:rPr>
        <w:t xml:space="preserve"> DDDSU TDD configuration, </w:t>
      </w:r>
      <w:r>
        <w:rPr>
          <w:lang w:val="en-US" w:eastAsia="zh-CN"/>
        </w:rPr>
        <w:t xml:space="preserve">and </w:t>
      </w:r>
      <w:r>
        <w:rPr>
          <w:rFonts w:hint="eastAsia"/>
          <w:lang w:val="en-US" w:eastAsia="zh-CN"/>
        </w:rPr>
        <w:t>15ms CG period</w:t>
      </w:r>
      <w:r>
        <w:rPr>
          <w:lang w:val="en-US" w:eastAsia="zh-CN"/>
        </w:rPr>
        <w:t xml:space="preserve">, </w:t>
      </w:r>
      <w:r>
        <w:rPr>
          <w:rFonts w:hint="eastAsia"/>
          <w:lang w:val="en-US" w:eastAsia="zh-CN"/>
        </w:rPr>
        <w:t>the UCI indicating the unused PUSCH occasions is periodically transmitted with the same periodicity with CG configuration, and the frame generation rate of XR traffic is 60fps, i.e., the packet arrival periodicity is about 16.67ms. Obviously, the CG periodicity or UCI transmission periodicity doesn</w:t>
      </w:r>
      <w:r>
        <w:rPr>
          <w:lang w:val="en-US" w:eastAsia="zh-CN"/>
        </w:rPr>
        <w:t>’</w:t>
      </w:r>
      <w:r>
        <w:rPr>
          <w:rFonts w:hint="eastAsia"/>
          <w:lang w:val="en-US" w:eastAsia="zh-CN"/>
        </w:rPr>
        <w:t>t align with the XR traffic periodicity. In some cases, UE has not yet acquired the actual data size of XR video frame at the UL slot when the UCI is transmitted.</w:t>
      </w:r>
    </w:p>
    <w:p>
      <w:pPr>
        <w:jc w:val="both"/>
        <w:rPr>
          <w:lang w:val="en-US" w:eastAsia="zh-CN"/>
        </w:rPr>
      </w:pPr>
      <w:r>
        <w:rPr>
          <w:lang w:val="en-US" w:eastAsia="zh-CN"/>
        </w:rPr>
        <w:t xml:space="preserve">One solution is </w:t>
      </w:r>
      <w:r>
        <w:rPr>
          <w:rFonts w:hint="eastAsia"/>
          <w:lang w:val="en-US" w:eastAsia="zh-CN"/>
        </w:rPr>
        <w:t xml:space="preserve">that </w:t>
      </w:r>
      <w:r>
        <w:rPr>
          <w:lang w:val="en-US" w:eastAsia="zh-CN"/>
        </w:rPr>
        <w:t>UE only send</w:t>
      </w:r>
      <w:r>
        <w:rPr>
          <w:rFonts w:hint="eastAsia"/>
          <w:lang w:val="en-US" w:eastAsia="zh-CN"/>
        </w:rPr>
        <w:t>s</w:t>
      </w:r>
      <w:r>
        <w:rPr>
          <w:lang w:val="en-US" w:eastAsia="zh-CN"/>
        </w:rPr>
        <w:t xml:space="preserve"> UCI when </w:t>
      </w:r>
      <w:r>
        <w:rPr>
          <w:rFonts w:hint="eastAsia"/>
          <w:lang w:val="en-US" w:eastAsia="zh-CN"/>
        </w:rPr>
        <w:t xml:space="preserve">the </w:t>
      </w:r>
      <w:r>
        <w:rPr>
          <w:lang w:val="en-US" w:eastAsia="zh-CN"/>
        </w:rPr>
        <w:t xml:space="preserve">XR </w:t>
      </w:r>
      <w:r>
        <w:rPr>
          <w:rFonts w:hint="eastAsia"/>
          <w:lang w:val="en-US" w:eastAsia="zh-CN"/>
        </w:rPr>
        <w:t>video frame</w:t>
      </w:r>
      <w:r>
        <w:rPr>
          <w:lang w:val="en-US" w:eastAsia="zh-CN"/>
        </w:rPr>
        <w:t xml:space="preserve"> is generated, however, gNB needs to detect UCI on all the possible UL slots which increase</w:t>
      </w:r>
      <w:r>
        <w:rPr>
          <w:rFonts w:hint="eastAsia"/>
          <w:lang w:val="en-US" w:eastAsia="zh-CN"/>
        </w:rPr>
        <w:t>s</w:t>
      </w:r>
      <w:r>
        <w:rPr>
          <w:lang w:val="en-US" w:eastAsia="zh-CN"/>
        </w:rPr>
        <w:t xml:space="preserve"> the gNB detection complexity. Another simple solution t</w:t>
      </w:r>
      <w:r>
        <w:rPr>
          <w:rFonts w:hint="eastAsia"/>
          <w:lang w:val="en-US" w:eastAsia="zh-CN"/>
        </w:rPr>
        <w:t>o indicate the usage of CG PUSCH occasions</w:t>
      </w:r>
      <w:r>
        <w:rPr>
          <w:lang w:val="en-US" w:eastAsia="zh-CN"/>
        </w:rPr>
        <w:t xml:space="preserve"> </w:t>
      </w:r>
      <w:r>
        <w:rPr>
          <w:rFonts w:hint="eastAsia"/>
          <w:lang w:val="en-US" w:eastAsia="zh-CN"/>
        </w:rPr>
        <w:t>precisely</w:t>
      </w:r>
      <w:r>
        <w:rPr>
          <w:lang w:val="en-US" w:eastAsia="zh-CN"/>
        </w:rPr>
        <w:t xml:space="preserve"> and reduce the gNB detection overhead is that</w:t>
      </w:r>
      <w:r>
        <w:rPr>
          <w:rFonts w:hint="eastAsia"/>
          <w:lang w:val="en-US" w:eastAsia="zh-CN"/>
        </w:rPr>
        <w:t xml:space="preserve"> UE can </w:t>
      </w:r>
      <w:r>
        <w:rPr>
          <w:lang w:val="en-US" w:eastAsia="zh-CN"/>
        </w:rPr>
        <w:t>re-</w:t>
      </w:r>
      <w:r>
        <w:rPr>
          <w:rFonts w:hint="eastAsia"/>
          <w:lang w:val="en-US" w:eastAsia="zh-CN"/>
        </w:rPr>
        <w:t>send the UCI to override the inaccurate indication information</w:t>
      </w:r>
      <w:r>
        <w:rPr>
          <w:lang w:val="en-US" w:eastAsia="zh-CN"/>
        </w:rPr>
        <w:t xml:space="preserve"> in </w:t>
      </w:r>
      <w:r>
        <w:rPr>
          <w:rFonts w:hint="eastAsia"/>
          <w:lang w:val="en-US" w:eastAsia="zh-CN"/>
        </w:rPr>
        <w:t xml:space="preserve">the </w:t>
      </w:r>
      <w:r>
        <w:rPr>
          <w:lang w:val="en-US" w:eastAsia="zh-CN"/>
        </w:rPr>
        <w:t>previous UCI</w:t>
      </w:r>
      <w:r>
        <w:rPr>
          <w:rFonts w:hint="eastAsia"/>
          <w:lang w:val="en-US" w:eastAsia="zh-CN"/>
        </w:rPr>
        <w:t>.</w:t>
      </w:r>
      <w:r>
        <w:rPr>
          <w:lang w:val="en-US" w:eastAsia="zh-CN"/>
        </w:rPr>
        <w:t xml:space="preserve"> For example, in Figure 2, the second UCI convey</w:t>
      </w:r>
      <w:r>
        <w:rPr>
          <w:rFonts w:hint="eastAsia"/>
          <w:lang w:val="en-US" w:eastAsia="zh-CN"/>
        </w:rPr>
        <w:t>s</w:t>
      </w:r>
      <w:r>
        <w:rPr>
          <w:lang w:val="en-US" w:eastAsia="zh-CN"/>
        </w:rPr>
        <w:t xml:space="preserve"> the accurate information</w:t>
      </w:r>
      <w:r>
        <w:rPr>
          <w:rFonts w:hint="eastAsia"/>
          <w:lang w:val="en-US" w:eastAsia="zh-CN"/>
        </w:rPr>
        <w:t xml:space="preserve"> of the </w:t>
      </w:r>
      <w:r>
        <w:rPr>
          <w:lang w:val="en-US" w:eastAsia="zh-CN"/>
        </w:rPr>
        <w:t>used CG-PUSCH occasion</w:t>
      </w:r>
      <w:r>
        <w:rPr>
          <w:rFonts w:hint="eastAsia"/>
          <w:lang w:val="en-US" w:eastAsia="zh-CN"/>
        </w:rPr>
        <w:t>s</w:t>
      </w:r>
      <w:r>
        <w:rPr>
          <w:lang w:val="en-US" w:eastAsia="zh-CN"/>
        </w:rPr>
        <w:t xml:space="preserve"> which can override the UCI transmitted in the first slot of </w:t>
      </w:r>
      <w:r>
        <w:rPr>
          <w:rFonts w:hint="eastAsia"/>
          <w:lang w:val="en-US" w:eastAsia="zh-CN"/>
        </w:rPr>
        <w:t xml:space="preserve">the </w:t>
      </w:r>
      <w:r>
        <w:rPr>
          <w:lang w:val="en-US" w:eastAsia="zh-CN"/>
        </w:rPr>
        <w:t xml:space="preserve">CG period. Another </w:t>
      </w:r>
      <w:r>
        <w:rPr>
          <w:rFonts w:hint="eastAsia"/>
          <w:lang w:val="en-US" w:eastAsia="zh-CN"/>
        </w:rPr>
        <w:t>issue</w:t>
      </w:r>
      <w:r>
        <w:rPr>
          <w:lang w:val="en-US" w:eastAsia="zh-CN"/>
        </w:rPr>
        <w:t xml:space="preserve"> </w:t>
      </w:r>
      <w:r>
        <w:rPr>
          <w:rFonts w:hint="eastAsia"/>
          <w:lang w:val="en-US" w:eastAsia="zh-CN"/>
        </w:rPr>
        <w:t xml:space="preserve">that </w:t>
      </w:r>
      <w:r>
        <w:rPr>
          <w:lang w:val="en-US" w:eastAsia="zh-CN"/>
        </w:rPr>
        <w:t xml:space="preserve">needs further study is how to inform gNB </w:t>
      </w:r>
      <w:r>
        <w:rPr>
          <w:rFonts w:hint="eastAsia"/>
          <w:lang w:val="en-US" w:eastAsia="zh-CN"/>
        </w:rPr>
        <w:t xml:space="preserve">of </w:t>
      </w:r>
      <w:r>
        <w:rPr>
          <w:lang w:val="en-US" w:eastAsia="zh-CN"/>
        </w:rPr>
        <w:t>the “last UCI”, there are some methods, e.g., explicit</w:t>
      </w:r>
      <w:r>
        <w:rPr>
          <w:rFonts w:hint="eastAsia"/>
          <w:lang w:val="en-US" w:eastAsia="zh-CN"/>
        </w:rPr>
        <w:t>ly</w:t>
      </w:r>
      <w:r>
        <w:rPr>
          <w:lang w:val="en-US" w:eastAsia="zh-CN"/>
        </w:rPr>
        <w:t xml:space="preserve"> indicat</w:t>
      </w:r>
      <w:r>
        <w:rPr>
          <w:rFonts w:hint="eastAsia"/>
          <w:lang w:val="en-US" w:eastAsia="zh-CN"/>
        </w:rPr>
        <w:t xml:space="preserve">e </w:t>
      </w:r>
      <w:r>
        <w:rPr>
          <w:lang w:val="en-US" w:eastAsia="zh-CN"/>
        </w:rPr>
        <w:t xml:space="preserve">the “last” in UCI content or define a time window of </w:t>
      </w:r>
      <w:r>
        <w:rPr>
          <w:rFonts w:hint="eastAsia"/>
          <w:lang w:val="en-US" w:eastAsia="zh-CN"/>
        </w:rPr>
        <w:t xml:space="preserve">the </w:t>
      </w:r>
      <w:r>
        <w:rPr>
          <w:lang w:val="en-US" w:eastAsia="zh-CN"/>
        </w:rPr>
        <w:t xml:space="preserve">“last UCI”. </w:t>
      </w:r>
    </w:p>
    <w:p>
      <w:pPr>
        <w:jc w:val="both"/>
      </w:pPr>
      <w:r>
        <w:drawing>
          <wp:inline distT="0" distB="0" distL="114300" distR="114300">
            <wp:extent cx="6120130" cy="1387475"/>
            <wp:effectExtent l="0" t="0" r="6350"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6120130" cy="1387475"/>
                    </a:xfrm>
                    <a:prstGeom prst="rect">
                      <a:avLst/>
                    </a:prstGeom>
                    <a:noFill/>
                    <a:ln>
                      <a:noFill/>
                    </a:ln>
                  </pic:spPr>
                </pic:pic>
              </a:graphicData>
            </a:graphic>
          </wp:inline>
        </w:drawing>
      </w:r>
    </w:p>
    <w:p>
      <w:pPr>
        <w:jc w:val="center"/>
        <w:rPr>
          <w:b/>
          <w:bCs/>
          <w:lang w:val="en-US" w:eastAsia="zh-CN"/>
        </w:rPr>
      </w:pPr>
      <w:r>
        <w:rPr>
          <w:rFonts w:hint="eastAsia"/>
          <w:b/>
          <w:bCs/>
          <w:lang w:val="en-US" w:eastAsia="zh-CN"/>
        </w:rPr>
        <w:t>Figure 2. Illustration of UCI overriding mechanism</w:t>
      </w:r>
    </w:p>
    <w:p>
      <w:pPr>
        <w:jc w:val="both"/>
        <w:rPr>
          <w:lang w:val="en-US" w:eastAsia="zh-CN"/>
        </w:rPr>
      </w:pPr>
      <w:r>
        <w:rPr>
          <w:rFonts w:hint="eastAsia"/>
          <w:lang w:val="en-US" w:eastAsia="zh-CN"/>
        </w:rPr>
        <w:t xml:space="preserve">Therefore, it is necessary to introduce a UCI overriding mechanism, which allows UE to send UCI again to override the inaccurate indication of the unused CG PUSCH occasions. </w:t>
      </w:r>
    </w:p>
    <w:p>
      <w:pPr>
        <w:jc w:val="both"/>
        <w:rPr>
          <w:b/>
          <w:bCs/>
          <w:i/>
          <w:iCs/>
          <w:lang w:val="en-US" w:eastAsia="zh-CN"/>
        </w:rPr>
      </w:pPr>
      <w:r>
        <w:rPr>
          <w:b/>
          <w:bCs/>
          <w:i/>
          <w:iCs/>
          <w:lang w:eastAsia="zh-CN"/>
        </w:rPr>
        <w:t xml:space="preserve">Proposal </w:t>
      </w:r>
      <w:r>
        <w:rPr>
          <w:rFonts w:hint="eastAsia"/>
          <w:b/>
          <w:bCs/>
          <w:i/>
          <w:iCs/>
          <w:lang w:val="en-US" w:eastAsia="zh-CN"/>
        </w:rPr>
        <w:t>2</w:t>
      </w:r>
      <w:r>
        <w:rPr>
          <w:b/>
          <w:bCs/>
          <w:i/>
          <w:iCs/>
          <w:lang w:eastAsia="zh-CN"/>
        </w:rPr>
        <w:t xml:space="preserve">. </w:t>
      </w:r>
      <w:r>
        <w:rPr>
          <w:rFonts w:hint="eastAsia"/>
          <w:b/>
          <w:bCs/>
          <w:i/>
          <w:iCs/>
          <w:lang w:val="en-US" w:eastAsia="zh-CN"/>
        </w:rPr>
        <w:t>It is necessary to introduce a UCI overriding mechanism</w:t>
      </w:r>
      <w:r>
        <w:rPr>
          <w:b/>
          <w:bCs/>
          <w:i/>
          <w:iCs/>
          <w:lang w:val="en-US" w:eastAsia="zh-CN"/>
        </w:rPr>
        <w:t xml:space="preserve"> to solve the </w:t>
      </w:r>
      <w:r>
        <w:rPr>
          <w:rFonts w:hint="eastAsia"/>
          <w:b/>
          <w:bCs/>
          <w:i/>
          <w:iCs/>
          <w:lang w:val="en-US" w:eastAsia="zh-CN"/>
        </w:rPr>
        <w:t>mis</w:t>
      </w:r>
      <w:r>
        <w:rPr>
          <w:b/>
          <w:bCs/>
          <w:i/>
          <w:iCs/>
          <w:lang w:val="en-US" w:eastAsia="zh-CN"/>
        </w:rPr>
        <w:t>alignment issue of UCI occasion and XR periodicity/jitter</w:t>
      </w:r>
      <w:r>
        <w:rPr>
          <w:rFonts w:hint="eastAsia"/>
          <w:b/>
          <w:bCs/>
          <w:i/>
          <w:iCs/>
          <w:lang w:val="en-US" w:eastAsia="zh-CN"/>
        </w:rPr>
        <w:t xml:space="preserve">, which allows UE to </w:t>
      </w:r>
      <w:r>
        <w:rPr>
          <w:b/>
          <w:bCs/>
          <w:i/>
          <w:iCs/>
          <w:lang w:val="en-US" w:eastAsia="zh-CN"/>
        </w:rPr>
        <w:t>re-transmit</w:t>
      </w:r>
      <w:r>
        <w:rPr>
          <w:rFonts w:hint="eastAsia"/>
          <w:b/>
          <w:bCs/>
          <w:i/>
          <w:iCs/>
          <w:lang w:val="en-US" w:eastAsia="zh-CN"/>
        </w:rPr>
        <w:t xml:space="preserve"> UCI to override the inaccurate indication of the unused CG PUSCH occasions</w:t>
      </w:r>
      <w:r>
        <w:rPr>
          <w:b/>
          <w:bCs/>
          <w:i/>
          <w:iCs/>
          <w:lang w:val="en-US" w:eastAsia="zh-CN"/>
        </w:rPr>
        <w:t xml:space="preserve"> in previous UCI</w:t>
      </w:r>
      <w:r>
        <w:rPr>
          <w:rFonts w:hint="eastAsia"/>
          <w:b/>
          <w:bCs/>
          <w:i/>
          <w:iCs/>
          <w:lang w:val="en-US" w:eastAsia="zh-CN"/>
        </w:rPr>
        <w:t>.</w:t>
      </w:r>
    </w:p>
    <w:p>
      <w:pPr>
        <w:pStyle w:val="4"/>
        <w:jc w:val="both"/>
      </w:pPr>
      <w:r>
        <w:t xml:space="preserve">2.1.2 </w:t>
      </w:r>
      <w:r>
        <w:rPr>
          <w:rFonts w:hint="eastAsia"/>
          <w:lang w:val="en-US" w:eastAsia="zh-CN"/>
        </w:rPr>
        <w:t xml:space="preserve">Reliability </w:t>
      </w:r>
      <w:r>
        <w:rPr>
          <w:lang w:val="en-US" w:eastAsia="zh-CN"/>
        </w:rPr>
        <w:t xml:space="preserve">issue </w:t>
      </w:r>
      <w:r>
        <w:rPr>
          <w:rFonts w:hint="eastAsia"/>
          <w:lang w:val="en-US" w:eastAsia="zh-CN"/>
        </w:rPr>
        <w:t>of UCI</w:t>
      </w:r>
      <w:r>
        <w:rPr>
          <w:lang w:val="en-US" w:eastAsia="zh-CN"/>
        </w:rPr>
        <w:t xml:space="preserve"> transmission</w:t>
      </w:r>
    </w:p>
    <w:p>
      <w:pPr>
        <w:jc w:val="both"/>
        <w:rPr>
          <w:lang w:val="en-US" w:eastAsia="zh-CN"/>
        </w:rPr>
      </w:pPr>
      <w:r>
        <w:rPr>
          <w:rFonts w:hint="eastAsia" w:eastAsiaTheme="minorEastAsia"/>
          <w:lang w:val="en-US" w:eastAsia="zh-CN"/>
        </w:rPr>
        <w:t xml:space="preserve">The above section discusses the situation where </w:t>
      </w:r>
      <w:r>
        <w:rPr>
          <w:rFonts w:hint="eastAsia"/>
          <w:lang w:val="en-US" w:eastAsia="zh-CN"/>
        </w:rPr>
        <w:t xml:space="preserve">UE does not know the actual usage of CG PUSCH occasions when the UCI is transmitted. In this section, we will discuss the reliability of the transmission of UCI, so it is assumed that UE </w:t>
      </w:r>
      <w:r>
        <w:rPr>
          <w:lang w:val="en-US" w:eastAsia="zh-CN"/>
        </w:rPr>
        <w:t>has</w:t>
      </w:r>
      <w:r>
        <w:rPr>
          <w:rFonts w:hint="eastAsia"/>
          <w:lang w:val="en-US" w:eastAsia="zh-CN"/>
        </w:rPr>
        <w:t xml:space="preserve"> know</w:t>
      </w:r>
      <w:r>
        <w:rPr>
          <w:lang w:val="en-US" w:eastAsia="zh-CN"/>
        </w:rPr>
        <w:t>n</w:t>
      </w:r>
      <w:r>
        <w:rPr>
          <w:rFonts w:hint="eastAsia"/>
          <w:lang w:val="en-US" w:eastAsia="zh-CN"/>
        </w:rPr>
        <w:t xml:space="preserve"> the</w:t>
      </w:r>
      <w:r>
        <w:rPr>
          <w:lang w:val="en-US" w:eastAsia="zh-CN"/>
        </w:rPr>
        <w:t xml:space="preserve"> accurate</w:t>
      </w:r>
      <w:r>
        <w:rPr>
          <w:rFonts w:hint="eastAsia"/>
          <w:lang w:val="en-US" w:eastAsia="zh-CN"/>
        </w:rPr>
        <w:t xml:space="preserve"> CG PUSCH occasions used to transmit the XR video frame </w:t>
      </w:r>
      <w:r>
        <w:rPr>
          <w:lang w:val="en-US" w:eastAsia="zh-CN"/>
        </w:rPr>
        <w:t>and transmits the credible UCI content, i.e., the “last UCI”</w:t>
      </w:r>
      <w:r>
        <w:rPr>
          <w:rFonts w:hint="eastAsia"/>
          <w:lang w:val="en-US" w:eastAsia="zh-CN"/>
        </w:rPr>
        <w:t xml:space="preserve">. </w:t>
      </w:r>
    </w:p>
    <w:p>
      <w:pPr>
        <w:jc w:val="both"/>
        <w:rPr>
          <w:lang w:val="en-US" w:eastAsia="zh-CN"/>
        </w:rPr>
      </w:pPr>
      <w:r>
        <w:rPr>
          <w:lang w:val="en-US" w:eastAsia="zh-CN"/>
        </w:rPr>
        <w:t xml:space="preserve">We assume </w:t>
      </w:r>
      <w:r>
        <w:rPr>
          <w:rFonts w:hint="eastAsia"/>
          <w:lang w:val="en-US" w:eastAsia="zh-CN"/>
        </w:rPr>
        <w:t xml:space="preserve">a bitmap </w:t>
      </w:r>
      <w:r>
        <w:rPr>
          <w:lang w:val="en-US" w:eastAsia="zh-CN"/>
        </w:rPr>
        <w:t>is used in the UCI</w:t>
      </w:r>
      <w:r>
        <w:rPr>
          <w:rFonts w:hint="eastAsia"/>
          <w:lang w:val="en-US" w:eastAsia="zh-CN"/>
        </w:rPr>
        <w:t xml:space="preserve"> to indicate which CG PUSCH occasions will be (or not be) </w:t>
      </w:r>
      <w:r>
        <w:rPr>
          <w:lang w:val="en-US" w:eastAsia="zh-CN"/>
        </w:rPr>
        <w:t>used</w:t>
      </w:r>
      <w:r>
        <w:rPr>
          <w:rFonts w:hint="eastAsia"/>
          <w:lang w:val="en-US" w:eastAsia="zh-CN"/>
        </w:rPr>
        <w:t>.</w:t>
      </w:r>
      <w:r>
        <w:rPr>
          <w:lang w:val="en-US" w:eastAsia="zh-CN"/>
        </w:rPr>
        <w:t xml:space="preserve"> </w:t>
      </w:r>
      <w:r>
        <w:rPr>
          <w:rFonts w:hint="eastAsia"/>
          <w:lang w:val="en-US" w:eastAsia="zh-CN"/>
        </w:rPr>
        <w:t>However, when a detection error occurs in the UCI transmission, the incorrect indication to the gNB will lead to capacity degradation. Specifically, if the UCI indicates some of the CG PUSCH occasions will not be used by the UE while gNB fails to correctly detect the UCI, then these unused CG PUSCH occasions will be wasted. On the contrary, if the UCI indicates some of the CG PUSCH occasions will be used by the UE while gNB fails to correctly detect the UCI and releases the corresponding CG PUSCH occasions, then the transmission of this XR video frame would fail, which results in severe capacity loss.</w:t>
      </w:r>
    </w:p>
    <w:p>
      <w:pPr>
        <w:jc w:val="both"/>
        <w:rPr>
          <w:lang w:val="en-US" w:eastAsia="zh-CN"/>
        </w:rPr>
      </w:pPr>
      <w:r>
        <w:rPr>
          <w:rFonts w:hint="eastAsia"/>
          <w:lang w:val="en-US" w:eastAsia="zh-CN"/>
        </w:rPr>
        <w:t>To enhance the transmission reliability of UCI, the UCI could be endowed with the capability of self-check. For example, the UCI sent by UE can include two parts of indication information, where the first part indicates to the gNB whether there is at least one unused CG PUSCH occasion, and the second part indicates the specific usage of CG PUSCH occasions. In this way, after gNB detects the UCI sent by UE, it can determine the reliability of this UCI by the means of checking the two parts of indication information. For example, if the first part indicates that there is no unused CG PUSCH occasion while the second part indicates some CG PUSCH occasions are not used, that is, the two parts of indication information contradict each other, the gNB will be aware of the fact that there is detection error of UCI and discard the UCI. However, there are some cases that the detection error of UCI could not be distinguished by this method. Therefore, to further improve the transmission reliability of UCI, the UCI sent by UE can include one more part of indication information, which indicates the number of unused CG PUSCH occasions in the associated CG period. The three parts of indication information contained in the UCI would provide more a powerful capability of self-check.</w:t>
      </w:r>
    </w:p>
    <w:p>
      <w:pPr>
        <w:jc w:val="both"/>
        <w:rPr>
          <w:lang w:val="en-US" w:eastAsia="zh-CN"/>
        </w:rPr>
      </w:pPr>
      <w:r>
        <w:rPr>
          <w:rFonts w:hint="eastAsia"/>
          <w:lang w:val="en-US" w:eastAsia="zh-CN"/>
        </w:rPr>
        <w:t xml:space="preserve">Figure 3 illustrates an example of the dynamic indication of unused CG PUSCH occasions based on the UCI that contains two parts of indication information. It is assumed that the number of CG PUSCH occasions allocated in a CG period is six and the first four of them will be used to transmit the XR video frame, which means that two unused CG PUSCH occasions should be indicated by the UE. So, the first part of UCI indicates to the gNB that there exist unused CG PUSCH occasions and the second part uses a bitmap to indicate that the last two CG PUSCH occasions will not be used by the UE, where the bit </w:t>
      </w:r>
      <w:r>
        <w:rPr>
          <w:lang w:val="en-US" w:eastAsia="zh-CN"/>
        </w:rPr>
        <w:t>“</w:t>
      </w:r>
      <w:r>
        <w:rPr>
          <w:rFonts w:hint="eastAsia"/>
          <w:lang w:val="en-US" w:eastAsia="zh-CN"/>
        </w:rPr>
        <w:t>1</w:t>
      </w:r>
      <w:r>
        <w:rPr>
          <w:lang w:val="en-US" w:eastAsia="zh-CN"/>
        </w:rPr>
        <w:t>”</w:t>
      </w:r>
      <w:r>
        <w:rPr>
          <w:rFonts w:hint="eastAsia"/>
          <w:lang w:val="en-US" w:eastAsia="zh-CN"/>
        </w:rPr>
        <w:t xml:space="preserve"> means </w:t>
      </w:r>
      <w:r>
        <w:rPr>
          <w:lang w:val="en-US" w:eastAsia="zh-CN"/>
        </w:rPr>
        <w:t>“</w:t>
      </w:r>
      <w:r>
        <w:rPr>
          <w:rFonts w:hint="eastAsia"/>
          <w:lang w:val="en-US" w:eastAsia="zh-CN"/>
        </w:rPr>
        <w:t>UE uses</w:t>
      </w:r>
      <w:r>
        <w:rPr>
          <w:lang w:val="en-US" w:eastAsia="zh-CN"/>
        </w:rPr>
        <w:t>”</w:t>
      </w:r>
      <w:r>
        <w:rPr>
          <w:rFonts w:hint="eastAsia"/>
          <w:lang w:val="en-US" w:eastAsia="zh-CN"/>
        </w:rPr>
        <w:t xml:space="preserve"> while </w:t>
      </w:r>
      <w:r>
        <w:rPr>
          <w:lang w:val="en-US" w:eastAsia="zh-CN"/>
        </w:rPr>
        <w:t>“</w:t>
      </w:r>
      <w:r>
        <w:rPr>
          <w:rFonts w:hint="eastAsia"/>
          <w:lang w:val="en-US" w:eastAsia="zh-CN"/>
        </w:rPr>
        <w:t>0</w:t>
      </w:r>
      <w:r>
        <w:rPr>
          <w:lang w:val="en-US" w:eastAsia="zh-CN"/>
        </w:rPr>
        <w:t>”</w:t>
      </w:r>
      <w:r>
        <w:rPr>
          <w:rFonts w:hint="eastAsia"/>
          <w:lang w:val="en-US" w:eastAsia="zh-CN"/>
        </w:rPr>
        <w:t xml:space="preserve"> means </w:t>
      </w:r>
      <w:r>
        <w:rPr>
          <w:lang w:val="en-US" w:eastAsia="zh-CN"/>
        </w:rPr>
        <w:t>“</w:t>
      </w:r>
      <w:r>
        <w:rPr>
          <w:rFonts w:hint="eastAsia"/>
          <w:lang w:val="en-US" w:eastAsia="zh-CN"/>
        </w:rPr>
        <w:t xml:space="preserve">UE does not use </w:t>
      </w:r>
      <w:r>
        <w:rPr>
          <w:lang w:val="en-US" w:eastAsia="zh-CN"/>
        </w:rPr>
        <w:t>”</w:t>
      </w:r>
      <w:r>
        <w:rPr>
          <w:rFonts w:hint="eastAsia"/>
          <w:lang w:val="en-US" w:eastAsia="zh-CN"/>
        </w:rPr>
        <w:t>.</w:t>
      </w:r>
    </w:p>
    <w:p>
      <w:pPr>
        <w:jc w:val="both"/>
        <w:rPr>
          <w:lang w:val="en-US" w:eastAsia="zh-CN"/>
        </w:rPr>
      </w:pPr>
      <w:r>
        <w:rPr>
          <w:rFonts w:hint="eastAsia"/>
          <w:lang w:val="en-US" w:eastAsia="zh-CN"/>
        </w:rPr>
        <w:t>Figure 4 illustrates another example of the dynamic indication of unused CG PUSCH occasions based on UCI, where the UCI contains three parts of indication information. Specifically, the first part of UCI indicates to the gNB that there exist unused CG PUSCH occasions, the second part indicates that the number of unused CG PUSCH occasions is two, and the third part uses a bitmap to indicate that the last two CG PUSCH occasions will not be used by the UE.</w:t>
      </w:r>
    </w:p>
    <w:p>
      <w:pPr>
        <w:jc w:val="both"/>
      </w:pPr>
      <w:r>
        <w:drawing>
          <wp:inline distT="0" distB="0" distL="114300" distR="114300">
            <wp:extent cx="6118860" cy="2777490"/>
            <wp:effectExtent l="0" t="0" r="7620" b="1143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8"/>
                    <a:stretch>
                      <a:fillRect/>
                    </a:stretch>
                  </pic:blipFill>
                  <pic:spPr>
                    <a:xfrm>
                      <a:off x="0" y="0"/>
                      <a:ext cx="6118860" cy="2777490"/>
                    </a:xfrm>
                    <a:prstGeom prst="rect">
                      <a:avLst/>
                    </a:prstGeom>
                    <a:noFill/>
                    <a:ln>
                      <a:noFill/>
                    </a:ln>
                  </pic:spPr>
                </pic:pic>
              </a:graphicData>
            </a:graphic>
          </wp:inline>
        </w:drawing>
      </w:r>
    </w:p>
    <w:p>
      <w:pPr>
        <w:jc w:val="center"/>
        <w:rPr>
          <w:b/>
          <w:bCs/>
          <w:lang w:val="en-US" w:eastAsia="zh-CN"/>
        </w:rPr>
      </w:pPr>
      <w:r>
        <w:rPr>
          <w:rFonts w:hint="eastAsia"/>
          <w:b/>
          <w:bCs/>
          <w:lang w:val="en-US" w:eastAsia="zh-CN"/>
        </w:rPr>
        <w:t xml:space="preserve">Figure 3 Illustration </w:t>
      </w:r>
      <w:r>
        <w:rPr>
          <w:b/>
          <w:bCs/>
          <w:lang w:val="en-US" w:eastAsia="zh-CN"/>
        </w:rPr>
        <w:t xml:space="preserve">of </w:t>
      </w:r>
      <w:r>
        <w:rPr>
          <w:rFonts w:hint="eastAsia"/>
          <w:b/>
          <w:bCs/>
          <w:lang w:val="en-US" w:eastAsia="zh-CN"/>
        </w:rPr>
        <w:t>UCI that contains two parts of indication information</w:t>
      </w:r>
    </w:p>
    <w:p>
      <w:pPr>
        <w:jc w:val="both"/>
        <w:rPr>
          <w:b/>
          <w:bCs/>
          <w:i/>
          <w:iCs/>
          <w:lang w:val="en-US" w:eastAsia="zh-CN"/>
        </w:rPr>
      </w:pPr>
      <w:r>
        <w:drawing>
          <wp:inline distT="0" distB="0" distL="114300" distR="114300">
            <wp:extent cx="6118860" cy="2709545"/>
            <wp:effectExtent l="0" t="0" r="7620" b="317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9"/>
                    <a:stretch>
                      <a:fillRect/>
                    </a:stretch>
                  </pic:blipFill>
                  <pic:spPr>
                    <a:xfrm>
                      <a:off x="0" y="0"/>
                      <a:ext cx="6118860" cy="2709545"/>
                    </a:xfrm>
                    <a:prstGeom prst="rect">
                      <a:avLst/>
                    </a:prstGeom>
                    <a:noFill/>
                    <a:ln>
                      <a:noFill/>
                    </a:ln>
                  </pic:spPr>
                </pic:pic>
              </a:graphicData>
            </a:graphic>
          </wp:inline>
        </w:drawing>
      </w:r>
    </w:p>
    <w:p>
      <w:pPr>
        <w:jc w:val="center"/>
        <w:rPr>
          <w:b/>
          <w:bCs/>
          <w:lang w:val="en-US" w:eastAsia="zh-CN"/>
        </w:rPr>
      </w:pPr>
      <w:r>
        <w:rPr>
          <w:rFonts w:hint="eastAsia"/>
          <w:b/>
          <w:bCs/>
          <w:lang w:val="en-US" w:eastAsia="zh-CN"/>
        </w:rPr>
        <w:t>Figure 4 Illustration of UCI that contains three parts of indication information</w:t>
      </w:r>
    </w:p>
    <w:p>
      <w:pPr>
        <w:jc w:val="both"/>
        <w:rPr>
          <w:b/>
          <w:bCs/>
          <w:lang w:val="en-US" w:eastAsia="zh-CN"/>
        </w:rPr>
      </w:pPr>
    </w:p>
    <w:p>
      <w:pPr>
        <w:jc w:val="both"/>
        <w:rPr>
          <w:b/>
          <w:bCs/>
          <w:i/>
          <w:iCs/>
          <w:lang w:val="en-US" w:eastAsia="zh-CN"/>
        </w:rPr>
      </w:pPr>
      <w:r>
        <w:rPr>
          <w:rFonts w:hint="eastAsia"/>
          <w:b/>
          <w:bCs/>
          <w:i/>
          <w:iCs/>
          <w:lang w:val="en-US" w:eastAsia="zh-CN"/>
        </w:rPr>
        <w:t xml:space="preserve">Proposal 3 The UCI for dynamic indication of unused CG PUSCH occasion(s) could be endowed with the capability of self-check to </w:t>
      </w:r>
      <w:r>
        <w:rPr>
          <w:b/>
          <w:bCs/>
          <w:i/>
          <w:iCs/>
          <w:lang w:val="en-US" w:eastAsia="zh-CN"/>
        </w:rPr>
        <w:t>improve</w:t>
      </w:r>
      <w:r>
        <w:rPr>
          <w:rFonts w:hint="eastAsia"/>
          <w:b/>
          <w:bCs/>
          <w:i/>
          <w:iCs/>
          <w:lang w:val="en-US" w:eastAsia="zh-CN"/>
        </w:rPr>
        <w:t xml:space="preserve"> its transmission reliability.</w:t>
      </w:r>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Conclusions</w:t>
      </w:r>
    </w:p>
    <w:p>
      <w:pPr>
        <w:jc w:val="both"/>
        <w:rPr>
          <w:rFonts w:eastAsiaTheme="minorEastAsia"/>
          <w:lang w:eastAsia="zh-CN"/>
        </w:rPr>
      </w:pPr>
      <w:r>
        <w:rPr>
          <w:rFonts w:hint="eastAsia"/>
          <w:lang w:eastAsia="zh-CN"/>
        </w:rPr>
        <w:t>I</w:t>
      </w:r>
      <w:r>
        <w:rPr>
          <w:lang w:eastAsia="zh-CN"/>
        </w:rPr>
        <w:t xml:space="preserve">n this contribution, </w:t>
      </w:r>
      <w:r>
        <w:rPr>
          <w:rFonts w:hint="eastAsia"/>
          <w:lang w:val="en-US" w:eastAsia="zh-CN"/>
        </w:rPr>
        <w:t xml:space="preserve">the </w:t>
      </w:r>
      <w:r>
        <w:rPr>
          <w:rFonts w:hint="eastAsia" w:eastAsiaTheme="minorEastAsia"/>
          <w:lang w:val="en-US" w:eastAsia="zh-CN"/>
        </w:rPr>
        <w:t xml:space="preserve">XR enhancements related to capacity </w:t>
      </w:r>
      <w:r>
        <w:rPr>
          <w:rFonts w:eastAsiaTheme="minorEastAsia"/>
          <w:lang w:eastAsia="zh-CN"/>
        </w:rPr>
        <w:t>are discussed</w:t>
      </w:r>
      <w:r>
        <w:rPr>
          <w:rFonts w:hint="eastAsia" w:eastAsiaTheme="minorEastAsia"/>
          <w:lang w:val="en-US" w:eastAsia="zh-CN"/>
        </w:rPr>
        <w:t xml:space="preserve"> from RAN1</w:t>
      </w:r>
      <w:r>
        <w:rPr>
          <w:rFonts w:eastAsiaTheme="minorEastAsia"/>
          <w:lang w:val="en-US" w:eastAsia="zh-CN"/>
        </w:rPr>
        <w:t>’</w:t>
      </w:r>
      <w:r>
        <w:rPr>
          <w:rFonts w:hint="eastAsia" w:eastAsiaTheme="minorEastAsia"/>
          <w:lang w:val="en-US" w:eastAsia="zh-CN"/>
        </w:rPr>
        <w:t>s perspective</w:t>
      </w:r>
      <w:r>
        <w:rPr>
          <w:rFonts w:eastAsiaTheme="minorEastAsia"/>
          <w:lang w:eastAsia="zh-CN"/>
        </w:rPr>
        <w:t>, and the following proposals are made.</w:t>
      </w:r>
    </w:p>
    <w:p>
      <w:pPr>
        <w:jc w:val="both"/>
        <w:rPr>
          <w:b/>
          <w:bCs/>
          <w:i/>
          <w:iCs/>
          <w:lang w:eastAsia="zh-CN"/>
        </w:rPr>
      </w:pPr>
      <w:r>
        <w:rPr>
          <w:b/>
          <w:bCs/>
          <w:i/>
          <w:iCs/>
          <w:lang w:eastAsia="zh-CN"/>
        </w:rPr>
        <w:t xml:space="preserve">Proposal 1. Support to configure multiple non-consecutive PUSCH slots/occasions within a </w:t>
      </w:r>
      <w:r>
        <w:rPr>
          <w:rFonts w:hint="eastAsia"/>
          <w:b/>
          <w:bCs/>
          <w:i/>
          <w:iCs/>
          <w:lang w:val="en-US" w:eastAsia="zh-CN"/>
        </w:rPr>
        <w:t xml:space="preserve">within a CG period. </w:t>
      </w:r>
    </w:p>
    <w:p>
      <w:pPr>
        <w:jc w:val="both"/>
        <w:rPr>
          <w:b/>
          <w:bCs/>
          <w:i/>
          <w:iCs/>
          <w:lang w:val="en-US" w:eastAsia="zh-CN"/>
        </w:rPr>
      </w:pPr>
      <w:r>
        <w:rPr>
          <w:b/>
          <w:bCs/>
          <w:i/>
          <w:iCs/>
          <w:lang w:eastAsia="zh-CN"/>
        </w:rPr>
        <w:t xml:space="preserve">Proposal </w:t>
      </w:r>
      <w:r>
        <w:rPr>
          <w:rFonts w:hint="eastAsia"/>
          <w:b/>
          <w:bCs/>
          <w:i/>
          <w:iCs/>
          <w:lang w:val="en-US" w:eastAsia="zh-CN"/>
        </w:rPr>
        <w:t>2</w:t>
      </w:r>
      <w:r>
        <w:rPr>
          <w:b/>
          <w:bCs/>
          <w:i/>
          <w:iCs/>
          <w:lang w:eastAsia="zh-CN"/>
        </w:rPr>
        <w:t xml:space="preserve">. </w:t>
      </w:r>
      <w:r>
        <w:rPr>
          <w:rFonts w:hint="eastAsia"/>
          <w:b/>
          <w:bCs/>
          <w:i/>
          <w:iCs/>
          <w:lang w:val="en-US" w:eastAsia="zh-CN"/>
        </w:rPr>
        <w:t>It is necessary to introduce a UCI overriding mechanism</w:t>
      </w:r>
      <w:r>
        <w:rPr>
          <w:b/>
          <w:bCs/>
          <w:i/>
          <w:iCs/>
          <w:lang w:val="en-US" w:eastAsia="zh-CN"/>
        </w:rPr>
        <w:t xml:space="preserve"> to solve the alignment issue of UCI occasion and XR periodicity/jitter</w:t>
      </w:r>
      <w:r>
        <w:rPr>
          <w:rFonts w:hint="eastAsia"/>
          <w:b/>
          <w:bCs/>
          <w:i/>
          <w:iCs/>
          <w:lang w:val="en-US" w:eastAsia="zh-CN"/>
        </w:rPr>
        <w:t xml:space="preserve">, which allows UE to </w:t>
      </w:r>
      <w:r>
        <w:rPr>
          <w:b/>
          <w:bCs/>
          <w:i/>
          <w:iCs/>
          <w:lang w:val="en-US" w:eastAsia="zh-CN"/>
        </w:rPr>
        <w:t>re-transmit</w:t>
      </w:r>
      <w:r>
        <w:rPr>
          <w:rFonts w:hint="eastAsia"/>
          <w:b/>
          <w:bCs/>
          <w:i/>
          <w:iCs/>
          <w:lang w:val="en-US" w:eastAsia="zh-CN"/>
        </w:rPr>
        <w:t xml:space="preserve"> UCI to override the inaccurate indication of the unused CG PUSCH occasions</w:t>
      </w:r>
      <w:r>
        <w:rPr>
          <w:b/>
          <w:bCs/>
          <w:i/>
          <w:iCs/>
          <w:lang w:val="en-US" w:eastAsia="zh-CN"/>
        </w:rPr>
        <w:t xml:space="preserve"> in previous UCI</w:t>
      </w:r>
      <w:r>
        <w:rPr>
          <w:rFonts w:hint="eastAsia"/>
          <w:b/>
          <w:bCs/>
          <w:i/>
          <w:iCs/>
          <w:lang w:val="en-US" w:eastAsia="zh-CN"/>
        </w:rPr>
        <w:t>.</w:t>
      </w:r>
    </w:p>
    <w:p>
      <w:pPr>
        <w:rPr>
          <w:b/>
          <w:bCs/>
          <w:i/>
          <w:iCs/>
          <w:lang w:val="en-US" w:eastAsia="zh-CN"/>
        </w:rPr>
      </w:pPr>
      <w:r>
        <w:rPr>
          <w:rFonts w:hint="eastAsia"/>
          <w:b/>
          <w:bCs/>
          <w:i/>
          <w:iCs/>
          <w:lang w:val="en-US" w:eastAsia="zh-CN"/>
        </w:rPr>
        <w:t xml:space="preserve">Proposal 3 The UCI for dynamic indication of unused CG PUSCH occasion(s) could be endowed with the capability of self-check to </w:t>
      </w:r>
      <w:r>
        <w:rPr>
          <w:b/>
          <w:bCs/>
          <w:i/>
          <w:iCs/>
          <w:lang w:val="en-US" w:eastAsia="zh-CN"/>
        </w:rPr>
        <w:t>improve</w:t>
      </w:r>
      <w:r>
        <w:rPr>
          <w:rFonts w:hint="eastAsia"/>
          <w:b/>
          <w:bCs/>
          <w:i/>
          <w:iCs/>
          <w:lang w:val="en-US" w:eastAsia="zh-CN"/>
        </w:rPr>
        <w:t xml:space="preserve"> its transmission reliability.</w:t>
      </w:r>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References</w:t>
      </w:r>
    </w:p>
    <w:p>
      <w:pPr>
        <w:pStyle w:val="135"/>
        <w:numPr>
          <w:ilvl w:val="0"/>
          <w:numId w:val="7"/>
        </w:numPr>
        <w:ind w:leftChars="0"/>
        <w:jc w:val="both"/>
        <w:rPr>
          <w:rFonts w:ascii="Times New Roman" w:hAnsi="Times New Roman"/>
          <w:lang w:eastAsia="zh-CN"/>
        </w:rPr>
      </w:pPr>
      <w:bookmarkStart w:id="5" w:name="_Ref28043"/>
      <w:r>
        <w:rPr>
          <w:rFonts w:ascii="Times New Roman" w:hAnsi="Times New Roman"/>
          <w:lang w:eastAsia="zh-CN"/>
        </w:rPr>
        <w:t>RP-22</w:t>
      </w:r>
      <w:r>
        <w:rPr>
          <w:rFonts w:hint="eastAsia" w:ascii="Times New Roman" w:hAnsi="Times New Roman"/>
          <w:lang w:val="en-US" w:eastAsia="zh-CN"/>
        </w:rPr>
        <w:t>3502</w:t>
      </w:r>
      <w:r>
        <w:rPr>
          <w:rFonts w:hint="eastAsia" w:ascii="Times New Roman" w:hAnsi="Times New Roman"/>
          <w:lang w:eastAsia="zh-CN"/>
        </w:rPr>
        <w:t>,</w:t>
      </w:r>
      <w:r>
        <w:rPr>
          <w:rFonts w:ascii="Times New Roman" w:hAnsi="Times New Roman"/>
          <w:lang w:eastAsia="zh-CN"/>
        </w:rPr>
        <w:t xml:space="preserve"> </w:t>
      </w:r>
      <w:r>
        <w:rPr>
          <w:rFonts w:ascii="Times New Roman" w:hAnsi="Times New Roman"/>
          <w:lang w:val="en-US" w:eastAsia="zh-CN"/>
        </w:rPr>
        <w:t>“</w:t>
      </w:r>
      <w:r>
        <w:rPr>
          <w:rFonts w:ascii="Times New Roman" w:hAnsi="Times New Roman"/>
          <w:lang w:eastAsia="zh-CN"/>
        </w:rPr>
        <w:t>New WID on XR Enhancements for NR</w:t>
      </w:r>
      <w:r>
        <w:rPr>
          <w:rFonts w:ascii="Times New Roman" w:hAnsi="Times New Roman"/>
          <w:lang w:val="en-US" w:eastAsia="zh-CN"/>
        </w:rPr>
        <w:t>”</w:t>
      </w:r>
      <w:r>
        <w:rPr>
          <w:rFonts w:ascii="Times New Roman" w:hAnsi="Times New Roman"/>
          <w:lang w:eastAsia="zh-CN"/>
        </w:rPr>
        <w:t>,</w:t>
      </w:r>
      <w:r>
        <w:rPr>
          <w:rFonts w:hint="eastAsia" w:ascii="Times New Roman" w:hAnsi="Times New Roman"/>
          <w:lang w:val="en-US" w:eastAsia="zh-CN"/>
        </w:rPr>
        <w:t xml:space="preserve"> RAN#98e, Dec. 12-16, 2022.</w:t>
      </w:r>
      <w:bookmarkEnd w:id="5"/>
      <w:bookmarkStart w:id="6" w:name="_Ref100139785"/>
      <w:bookmarkStart w:id="7" w:name="_Ref6671378"/>
    </w:p>
    <w:p>
      <w:pPr>
        <w:pStyle w:val="135"/>
        <w:numPr>
          <w:ilvl w:val="0"/>
          <w:numId w:val="7"/>
        </w:numPr>
        <w:ind w:leftChars="0"/>
        <w:jc w:val="both"/>
        <w:rPr>
          <w:lang w:eastAsia="zh-CN"/>
        </w:rPr>
      </w:pPr>
      <w:bookmarkStart w:id="8" w:name="_Ref28170"/>
      <w:r>
        <w:rPr>
          <w:lang w:eastAsia="zh-CN"/>
        </w:rPr>
        <w:t>TR 38.838, “Study on XR (Extended Reality) Evaluations for NR”</w:t>
      </w:r>
      <w:bookmarkEnd w:id="6"/>
      <w:bookmarkEnd w:id="7"/>
      <w:r>
        <w:rPr>
          <w:rFonts w:hint="eastAsia"/>
          <w:lang w:val="en-US" w:eastAsia="zh-CN"/>
        </w:rPr>
        <w:t>.</w:t>
      </w:r>
      <w:bookmarkEnd w:id="8"/>
    </w:p>
    <w:sectPr>
      <w:headerReference r:id="rId4" w:type="even"/>
      <w:footnotePr>
        <w:numRestart w:val="eachSect"/>
      </w:footnotePr>
      <w:pgSz w:w="11907" w:h="16840"/>
      <w:pgMar w:top="1418" w:right="1134" w:bottom="1134" w:left="1134" w:header="680" w:footer="567" w:gutter="0"/>
      <w:cols w:space="708" w:num="1"/>
      <w:rtlGutter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2">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4">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5">
    <w:nsid w:val="70146DC0"/>
    <w:multiLevelType w:val="multilevel"/>
    <w:tmpl w:val="70146DC0"/>
    <w:lvl w:ilvl="0" w:tentative="0">
      <w:start w:val="1"/>
      <w:numFmt w:val="bullet"/>
      <w:pStyle w:val="154"/>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6">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6"/>
  </w:num>
  <w:num w:numId="3">
    <w:abstractNumId w:val="4"/>
  </w:num>
  <w:num w:numId="4">
    <w:abstractNumId w:val="1"/>
    <w:lvlOverride w:ilvl="0">
      <w:startOverride w:val="1"/>
    </w:lvlOverride>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2"/>
  </w:compat>
  <w:rsids>
    <w:rsidRoot w:val="0026355E"/>
    <w:rsid w:val="000002AB"/>
    <w:rsid w:val="000002B5"/>
    <w:rsid w:val="00000663"/>
    <w:rsid w:val="00000993"/>
    <w:rsid w:val="00000E2B"/>
    <w:rsid w:val="000010F6"/>
    <w:rsid w:val="0000131E"/>
    <w:rsid w:val="000022B8"/>
    <w:rsid w:val="00002325"/>
    <w:rsid w:val="0000234E"/>
    <w:rsid w:val="00002D15"/>
    <w:rsid w:val="000030EB"/>
    <w:rsid w:val="000031DB"/>
    <w:rsid w:val="000032B7"/>
    <w:rsid w:val="000033C9"/>
    <w:rsid w:val="000035F6"/>
    <w:rsid w:val="00003D7F"/>
    <w:rsid w:val="00004192"/>
    <w:rsid w:val="00004511"/>
    <w:rsid w:val="000046D7"/>
    <w:rsid w:val="000047B7"/>
    <w:rsid w:val="00004A3E"/>
    <w:rsid w:val="00004AB2"/>
    <w:rsid w:val="00004ACC"/>
    <w:rsid w:val="00004C48"/>
    <w:rsid w:val="00004E10"/>
    <w:rsid w:val="00004E7B"/>
    <w:rsid w:val="00004EFB"/>
    <w:rsid w:val="0000513B"/>
    <w:rsid w:val="00005833"/>
    <w:rsid w:val="0000586E"/>
    <w:rsid w:val="00005B39"/>
    <w:rsid w:val="00005F8B"/>
    <w:rsid w:val="000060C6"/>
    <w:rsid w:val="00006119"/>
    <w:rsid w:val="00006186"/>
    <w:rsid w:val="000064BA"/>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6EE"/>
    <w:rsid w:val="0001188D"/>
    <w:rsid w:val="000118C2"/>
    <w:rsid w:val="00012170"/>
    <w:rsid w:val="00012608"/>
    <w:rsid w:val="000126D3"/>
    <w:rsid w:val="00012760"/>
    <w:rsid w:val="000127FE"/>
    <w:rsid w:val="000129B9"/>
    <w:rsid w:val="00012ECA"/>
    <w:rsid w:val="000130CA"/>
    <w:rsid w:val="00013366"/>
    <w:rsid w:val="000135DB"/>
    <w:rsid w:val="00013601"/>
    <w:rsid w:val="00013FEF"/>
    <w:rsid w:val="0001459D"/>
    <w:rsid w:val="00014796"/>
    <w:rsid w:val="00014DE5"/>
    <w:rsid w:val="00014FD8"/>
    <w:rsid w:val="000154C2"/>
    <w:rsid w:val="00015753"/>
    <w:rsid w:val="00015902"/>
    <w:rsid w:val="00015956"/>
    <w:rsid w:val="00015A1C"/>
    <w:rsid w:val="000164FB"/>
    <w:rsid w:val="00016A9A"/>
    <w:rsid w:val="00016AFB"/>
    <w:rsid w:val="00016C16"/>
    <w:rsid w:val="00016E91"/>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0D2"/>
    <w:rsid w:val="0002510A"/>
    <w:rsid w:val="00025A02"/>
    <w:rsid w:val="00025DEA"/>
    <w:rsid w:val="000261AD"/>
    <w:rsid w:val="000268BE"/>
    <w:rsid w:val="000268D3"/>
    <w:rsid w:val="00026B07"/>
    <w:rsid w:val="00027358"/>
    <w:rsid w:val="0002764E"/>
    <w:rsid w:val="00027751"/>
    <w:rsid w:val="000277C6"/>
    <w:rsid w:val="00027BD7"/>
    <w:rsid w:val="00027F10"/>
    <w:rsid w:val="000303C3"/>
    <w:rsid w:val="000303D4"/>
    <w:rsid w:val="000304E9"/>
    <w:rsid w:val="0003069A"/>
    <w:rsid w:val="000307DA"/>
    <w:rsid w:val="0003141C"/>
    <w:rsid w:val="000314A0"/>
    <w:rsid w:val="0003176E"/>
    <w:rsid w:val="0003193C"/>
    <w:rsid w:val="000319B0"/>
    <w:rsid w:val="00031D46"/>
    <w:rsid w:val="00031F03"/>
    <w:rsid w:val="00032478"/>
    <w:rsid w:val="000325C3"/>
    <w:rsid w:val="000338D8"/>
    <w:rsid w:val="00033ABA"/>
    <w:rsid w:val="00033B1E"/>
    <w:rsid w:val="00033D1A"/>
    <w:rsid w:val="00033EA1"/>
    <w:rsid w:val="00033F8F"/>
    <w:rsid w:val="00034589"/>
    <w:rsid w:val="00034ECC"/>
    <w:rsid w:val="00034FB4"/>
    <w:rsid w:val="00034FF6"/>
    <w:rsid w:val="00035108"/>
    <w:rsid w:val="0003510D"/>
    <w:rsid w:val="00035340"/>
    <w:rsid w:val="00035499"/>
    <w:rsid w:val="000355A8"/>
    <w:rsid w:val="0003569D"/>
    <w:rsid w:val="000356C4"/>
    <w:rsid w:val="00035BE7"/>
    <w:rsid w:val="000361C3"/>
    <w:rsid w:val="0003644B"/>
    <w:rsid w:val="00036BC5"/>
    <w:rsid w:val="00036CFE"/>
    <w:rsid w:val="000374B2"/>
    <w:rsid w:val="000378BB"/>
    <w:rsid w:val="00037C7E"/>
    <w:rsid w:val="00040852"/>
    <w:rsid w:val="00041910"/>
    <w:rsid w:val="00041961"/>
    <w:rsid w:val="00042088"/>
    <w:rsid w:val="00042177"/>
    <w:rsid w:val="000421DE"/>
    <w:rsid w:val="000425B7"/>
    <w:rsid w:val="00042776"/>
    <w:rsid w:val="00042AFB"/>
    <w:rsid w:val="00043028"/>
    <w:rsid w:val="00043B6C"/>
    <w:rsid w:val="00043D37"/>
    <w:rsid w:val="00043D95"/>
    <w:rsid w:val="000443DA"/>
    <w:rsid w:val="00044469"/>
    <w:rsid w:val="00044C9A"/>
    <w:rsid w:val="00044DD6"/>
    <w:rsid w:val="00045334"/>
    <w:rsid w:val="000459EF"/>
    <w:rsid w:val="0004645D"/>
    <w:rsid w:val="000465B4"/>
    <w:rsid w:val="00046684"/>
    <w:rsid w:val="00046B84"/>
    <w:rsid w:val="00046D1E"/>
    <w:rsid w:val="00046F98"/>
    <w:rsid w:val="00047156"/>
    <w:rsid w:val="0004763B"/>
    <w:rsid w:val="00047647"/>
    <w:rsid w:val="0005017D"/>
    <w:rsid w:val="0005018F"/>
    <w:rsid w:val="00050527"/>
    <w:rsid w:val="00051747"/>
    <w:rsid w:val="00051A49"/>
    <w:rsid w:val="00051D76"/>
    <w:rsid w:val="00051FFE"/>
    <w:rsid w:val="000523A2"/>
    <w:rsid w:val="00052608"/>
    <w:rsid w:val="0005269D"/>
    <w:rsid w:val="000526D5"/>
    <w:rsid w:val="000527C0"/>
    <w:rsid w:val="0005293E"/>
    <w:rsid w:val="0005353B"/>
    <w:rsid w:val="00053B1F"/>
    <w:rsid w:val="00053EF4"/>
    <w:rsid w:val="00054082"/>
    <w:rsid w:val="0005408B"/>
    <w:rsid w:val="0005467C"/>
    <w:rsid w:val="00054810"/>
    <w:rsid w:val="000550A2"/>
    <w:rsid w:val="000551E5"/>
    <w:rsid w:val="000554C4"/>
    <w:rsid w:val="000555C4"/>
    <w:rsid w:val="00055B16"/>
    <w:rsid w:val="00055D01"/>
    <w:rsid w:val="00055DE0"/>
    <w:rsid w:val="00055E7F"/>
    <w:rsid w:val="0005634E"/>
    <w:rsid w:val="00056941"/>
    <w:rsid w:val="00056E06"/>
    <w:rsid w:val="000577CF"/>
    <w:rsid w:val="000579CD"/>
    <w:rsid w:val="00057B39"/>
    <w:rsid w:val="00057B41"/>
    <w:rsid w:val="000604C3"/>
    <w:rsid w:val="0006063D"/>
    <w:rsid w:val="0006084A"/>
    <w:rsid w:val="0006093F"/>
    <w:rsid w:val="00060B11"/>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3A"/>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158F"/>
    <w:rsid w:val="00072005"/>
    <w:rsid w:val="000722B8"/>
    <w:rsid w:val="00072615"/>
    <w:rsid w:val="00072755"/>
    <w:rsid w:val="00072B9E"/>
    <w:rsid w:val="00072D86"/>
    <w:rsid w:val="00073125"/>
    <w:rsid w:val="00073340"/>
    <w:rsid w:val="0007338E"/>
    <w:rsid w:val="00073448"/>
    <w:rsid w:val="00073C07"/>
    <w:rsid w:val="0007425F"/>
    <w:rsid w:val="0007436C"/>
    <w:rsid w:val="000743C5"/>
    <w:rsid w:val="00075077"/>
    <w:rsid w:val="00075548"/>
    <w:rsid w:val="00075648"/>
    <w:rsid w:val="00075DA6"/>
    <w:rsid w:val="0007645E"/>
    <w:rsid w:val="0007655C"/>
    <w:rsid w:val="00076678"/>
    <w:rsid w:val="000767F8"/>
    <w:rsid w:val="000769C7"/>
    <w:rsid w:val="00076A0C"/>
    <w:rsid w:val="00076A88"/>
    <w:rsid w:val="00076B12"/>
    <w:rsid w:val="0007708F"/>
    <w:rsid w:val="000771A1"/>
    <w:rsid w:val="0007777E"/>
    <w:rsid w:val="000779AF"/>
    <w:rsid w:val="00077D8A"/>
    <w:rsid w:val="00077D99"/>
    <w:rsid w:val="00080190"/>
    <w:rsid w:val="00080FF4"/>
    <w:rsid w:val="00081BC7"/>
    <w:rsid w:val="00081C1F"/>
    <w:rsid w:val="00081C2D"/>
    <w:rsid w:val="0008207F"/>
    <w:rsid w:val="00082126"/>
    <w:rsid w:val="0008232D"/>
    <w:rsid w:val="000824A5"/>
    <w:rsid w:val="00082535"/>
    <w:rsid w:val="000829B4"/>
    <w:rsid w:val="00082A07"/>
    <w:rsid w:val="00083612"/>
    <w:rsid w:val="0008382B"/>
    <w:rsid w:val="00083CC7"/>
    <w:rsid w:val="00084114"/>
    <w:rsid w:val="0008454F"/>
    <w:rsid w:val="000848D8"/>
    <w:rsid w:val="00084A00"/>
    <w:rsid w:val="00084BCD"/>
    <w:rsid w:val="00085033"/>
    <w:rsid w:val="00085276"/>
    <w:rsid w:val="00085F7B"/>
    <w:rsid w:val="00086428"/>
    <w:rsid w:val="000864B7"/>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A9E"/>
    <w:rsid w:val="00091E6D"/>
    <w:rsid w:val="0009224C"/>
    <w:rsid w:val="00092636"/>
    <w:rsid w:val="000928A2"/>
    <w:rsid w:val="000928F7"/>
    <w:rsid w:val="00092B49"/>
    <w:rsid w:val="00092B6E"/>
    <w:rsid w:val="00092BD4"/>
    <w:rsid w:val="00093257"/>
    <w:rsid w:val="000934B7"/>
    <w:rsid w:val="00093FC3"/>
    <w:rsid w:val="0009436E"/>
    <w:rsid w:val="000943A3"/>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9D3"/>
    <w:rsid w:val="000A310A"/>
    <w:rsid w:val="000A33F0"/>
    <w:rsid w:val="000A3E82"/>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CE8"/>
    <w:rsid w:val="000B5EBC"/>
    <w:rsid w:val="000B5F05"/>
    <w:rsid w:val="000B614F"/>
    <w:rsid w:val="000B61CD"/>
    <w:rsid w:val="000B626A"/>
    <w:rsid w:val="000B6961"/>
    <w:rsid w:val="000B6E6F"/>
    <w:rsid w:val="000B7016"/>
    <w:rsid w:val="000B76CB"/>
    <w:rsid w:val="000B7885"/>
    <w:rsid w:val="000B78B2"/>
    <w:rsid w:val="000B7E01"/>
    <w:rsid w:val="000B7E6E"/>
    <w:rsid w:val="000C0115"/>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C40"/>
    <w:rsid w:val="000C3FB0"/>
    <w:rsid w:val="000C40C7"/>
    <w:rsid w:val="000C4A8A"/>
    <w:rsid w:val="000C4DEA"/>
    <w:rsid w:val="000C506C"/>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B"/>
    <w:rsid w:val="000D548A"/>
    <w:rsid w:val="000D54FB"/>
    <w:rsid w:val="000D580C"/>
    <w:rsid w:val="000D6029"/>
    <w:rsid w:val="000D60C8"/>
    <w:rsid w:val="000D63FD"/>
    <w:rsid w:val="000D66B4"/>
    <w:rsid w:val="000D6915"/>
    <w:rsid w:val="000D7110"/>
    <w:rsid w:val="000D7308"/>
    <w:rsid w:val="000D7521"/>
    <w:rsid w:val="000E021A"/>
    <w:rsid w:val="000E0CB9"/>
    <w:rsid w:val="000E1047"/>
    <w:rsid w:val="000E12CB"/>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167"/>
    <w:rsid w:val="000E42AD"/>
    <w:rsid w:val="000E4B6C"/>
    <w:rsid w:val="000E4CC9"/>
    <w:rsid w:val="000E4DF2"/>
    <w:rsid w:val="000E5060"/>
    <w:rsid w:val="000E52F0"/>
    <w:rsid w:val="000E538A"/>
    <w:rsid w:val="000E57F9"/>
    <w:rsid w:val="000E59C2"/>
    <w:rsid w:val="000E5B7D"/>
    <w:rsid w:val="000E5D99"/>
    <w:rsid w:val="000E6461"/>
    <w:rsid w:val="000E7511"/>
    <w:rsid w:val="000E77BA"/>
    <w:rsid w:val="000E7869"/>
    <w:rsid w:val="000F01C6"/>
    <w:rsid w:val="000F04FD"/>
    <w:rsid w:val="000F0CC4"/>
    <w:rsid w:val="000F0D30"/>
    <w:rsid w:val="000F1022"/>
    <w:rsid w:val="000F2181"/>
    <w:rsid w:val="000F232A"/>
    <w:rsid w:val="000F24B9"/>
    <w:rsid w:val="000F2631"/>
    <w:rsid w:val="000F2A2B"/>
    <w:rsid w:val="000F2B4A"/>
    <w:rsid w:val="000F2D33"/>
    <w:rsid w:val="000F2FFD"/>
    <w:rsid w:val="000F33CF"/>
    <w:rsid w:val="000F36AD"/>
    <w:rsid w:val="000F3B1C"/>
    <w:rsid w:val="000F3F10"/>
    <w:rsid w:val="000F41AF"/>
    <w:rsid w:val="000F457E"/>
    <w:rsid w:val="000F4DC5"/>
    <w:rsid w:val="000F5470"/>
    <w:rsid w:val="000F5471"/>
    <w:rsid w:val="000F55DF"/>
    <w:rsid w:val="000F596B"/>
    <w:rsid w:val="000F5BC8"/>
    <w:rsid w:val="000F5FAE"/>
    <w:rsid w:val="000F600C"/>
    <w:rsid w:val="000F60B1"/>
    <w:rsid w:val="000F675E"/>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D6"/>
    <w:rsid w:val="001023C5"/>
    <w:rsid w:val="001025A4"/>
    <w:rsid w:val="00102A7F"/>
    <w:rsid w:val="0010302C"/>
    <w:rsid w:val="0010323F"/>
    <w:rsid w:val="00103357"/>
    <w:rsid w:val="00103454"/>
    <w:rsid w:val="0010345D"/>
    <w:rsid w:val="00103804"/>
    <w:rsid w:val="00103B97"/>
    <w:rsid w:val="001044D8"/>
    <w:rsid w:val="00104A90"/>
    <w:rsid w:val="00104CFD"/>
    <w:rsid w:val="00104DA1"/>
    <w:rsid w:val="0010533C"/>
    <w:rsid w:val="00105615"/>
    <w:rsid w:val="001059C3"/>
    <w:rsid w:val="00105D65"/>
    <w:rsid w:val="00105E6B"/>
    <w:rsid w:val="00105F0F"/>
    <w:rsid w:val="001060B4"/>
    <w:rsid w:val="0010616C"/>
    <w:rsid w:val="001063B9"/>
    <w:rsid w:val="00106485"/>
    <w:rsid w:val="001072BF"/>
    <w:rsid w:val="001074B7"/>
    <w:rsid w:val="00110262"/>
    <w:rsid w:val="001102EE"/>
    <w:rsid w:val="001106EC"/>
    <w:rsid w:val="00110D44"/>
    <w:rsid w:val="001111C6"/>
    <w:rsid w:val="00111297"/>
    <w:rsid w:val="001115D2"/>
    <w:rsid w:val="00112234"/>
    <w:rsid w:val="001125AA"/>
    <w:rsid w:val="001125B3"/>
    <w:rsid w:val="0011294C"/>
    <w:rsid w:val="00112B32"/>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363E"/>
    <w:rsid w:val="00133950"/>
    <w:rsid w:val="00133AC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4B6"/>
    <w:rsid w:val="00141B0A"/>
    <w:rsid w:val="00142687"/>
    <w:rsid w:val="00142810"/>
    <w:rsid w:val="0014312D"/>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E26"/>
    <w:rsid w:val="00153F78"/>
    <w:rsid w:val="00153FEF"/>
    <w:rsid w:val="00154206"/>
    <w:rsid w:val="00154349"/>
    <w:rsid w:val="00154605"/>
    <w:rsid w:val="001554FC"/>
    <w:rsid w:val="00155847"/>
    <w:rsid w:val="001558F7"/>
    <w:rsid w:val="0015596E"/>
    <w:rsid w:val="0015631A"/>
    <w:rsid w:val="001563B3"/>
    <w:rsid w:val="001567D0"/>
    <w:rsid w:val="00156A2A"/>
    <w:rsid w:val="00156BE5"/>
    <w:rsid w:val="00156C63"/>
    <w:rsid w:val="00156EF9"/>
    <w:rsid w:val="0015713D"/>
    <w:rsid w:val="001572B7"/>
    <w:rsid w:val="00157507"/>
    <w:rsid w:val="0015767C"/>
    <w:rsid w:val="00157885"/>
    <w:rsid w:val="00157AD2"/>
    <w:rsid w:val="00157CE1"/>
    <w:rsid w:val="00160068"/>
    <w:rsid w:val="00160D36"/>
    <w:rsid w:val="00161386"/>
    <w:rsid w:val="00162044"/>
    <w:rsid w:val="00162129"/>
    <w:rsid w:val="00162285"/>
    <w:rsid w:val="00162723"/>
    <w:rsid w:val="001627CB"/>
    <w:rsid w:val="00162B45"/>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85C"/>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5BA"/>
    <w:rsid w:val="001776EE"/>
    <w:rsid w:val="0017785F"/>
    <w:rsid w:val="00177FDB"/>
    <w:rsid w:val="00180CD3"/>
    <w:rsid w:val="00180D9A"/>
    <w:rsid w:val="00180F34"/>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1F1"/>
    <w:rsid w:val="001859F2"/>
    <w:rsid w:val="00185B10"/>
    <w:rsid w:val="00186816"/>
    <w:rsid w:val="00186C71"/>
    <w:rsid w:val="00186C72"/>
    <w:rsid w:val="00186E32"/>
    <w:rsid w:val="001874B7"/>
    <w:rsid w:val="001875CA"/>
    <w:rsid w:val="001877C3"/>
    <w:rsid w:val="00187CE5"/>
    <w:rsid w:val="0019077B"/>
    <w:rsid w:val="00190D90"/>
    <w:rsid w:val="0019106C"/>
    <w:rsid w:val="001912BA"/>
    <w:rsid w:val="001912C6"/>
    <w:rsid w:val="001913FD"/>
    <w:rsid w:val="0019161C"/>
    <w:rsid w:val="00191677"/>
    <w:rsid w:val="0019185C"/>
    <w:rsid w:val="00192051"/>
    <w:rsid w:val="0019233C"/>
    <w:rsid w:val="00192363"/>
    <w:rsid w:val="001926F4"/>
    <w:rsid w:val="001932EA"/>
    <w:rsid w:val="001936C5"/>
    <w:rsid w:val="0019375A"/>
    <w:rsid w:val="00193A0B"/>
    <w:rsid w:val="00193CF5"/>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37E"/>
    <w:rsid w:val="001A04FC"/>
    <w:rsid w:val="001A069F"/>
    <w:rsid w:val="001A0876"/>
    <w:rsid w:val="001A0D32"/>
    <w:rsid w:val="001A0EB4"/>
    <w:rsid w:val="001A1060"/>
    <w:rsid w:val="001A1561"/>
    <w:rsid w:val="001A1610"/>
    <w:rsid w:val="001A181C"/>
    <w:rsid w:val="001A193D"/>
    <w:rsid w:val="001A1C92"/>
    <w:rsid w:val="001A25B3"/>
    <w:rsid w:val="001A2706"/>
    <w:rsid w:val="001A27BF"/>
    <w:rsid w:val="001A31A1"/>
    <w:rsid w:val="001A35B2"/>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C8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00"/>
    <w:rsid w:val="001B3E1F"/>
    <w:rsid w:val="001B3ED2"/>
    <w:rsid w:val="001B40CA"/>
    <w:rsid w:val="001B4175"/>
    <w:rsid w:val="001B42C1"/>
    <w:rsid w:val="001B4ED3"/>
    <w:rsid w:val="001B51C8"/>
    <w:rsid w:val="001B54AC"/>
    <w:rsid w:val="001B5E69"/>
    <w:rsid w:val="001B5F2F"/>
    <w:rsid w:val="001B5FB6"/>
    <w:rsid w:val="001B621D"/>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379"/>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A79"/>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7A0"/>
    <w:rsid w:val="001D2B48"/>
    <w:rsid w:val="001D2FE8"/>
    <w:rsid w:val="001D309D"/>
    <w:rsid w:val="001D31D0"/>
    <w:rsid w:val="001D4711"/>
    <w:rsid w:val="001D4907"/>
    <w:rsid w:val="001D4B48"/>
    <w:rsid w:val="001D5012"/>
    <w:rsid w:val="001D530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4517"/>
    <w:rsid w:val="001E49D5"/>
    <w:rsid w:val="001E5428"/>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7B7"/>
    <w:rsid w:val="001F18D9"/>
    <w:rsid w:val="001F1BD3"/>
    <w:rsid w:val="001F1F85"/>
    <w:rsid w:val="001F204E"/>
    <w:rsid w:val="001F210B"/>
    <w:rsid w:val="001F211C"/>
    <w:rsid w:val="001F222A"/>
    <w:rsid w:val="001F25EC"/>
    <w:rsid w:val="001F2751"/>
    <w:rsid w:val="001F27CA"/>
    <w:rsid w:val="001F2BBB"/>
    <w:rsid w:val="001F3730"/>
    <w:rsid w:val="001F3F5B"/>
    <w:rsid w:val="001F3FF3"/>
    <w:rsid w:val="001F4644"/>
    <w:rsid w:val="001F4803"/>
    <w:rsid w:val="001F4E2C"/>
    <w:rsid w:val="001F4FDF"/>
    <w:rsid w:val="001F51CC"/>
    <w:rsid w:val="001F52BC"/>
    <w:rsid w:val="001F52D2"/>
    <w:rsid w:val="001F537C"/>
    <w:rsid w:val="001F57D1"/>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4C8"/>
    <w:rsid w:val="00203813"/>
    <w:rsid w:val="0020400D"/>
    <w:rsid w:val="0020406E"/>
    <w:rsid w:val="00204C28"/>
    <w:rsid w:val="00204D0D"/>
    <w:rsid w:val="002057AF"/>
    <w:rsid w:val="00205997"/>
    <w:rsid w:val="00205C45"/>
    <w:rsid w:val="0020621D"/>
    <w:rsid w:val="0020630B"/>
    <w:rsid w:val="0020645E"/>
    <w:rsid w:val="002065BD"/>
    <w:rsid w:val="00206DB2"/>
    <w:rsid w:val="00206E24"/>
    <w:rsid w:val="00206EDF"/>
    <w:rsid w:val="00206F8D"/>
    <w:rsid w:val="00206FEA"/>
    <w:rsid w:val="002072A7"/>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2D6F"/>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6CE5"/>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3BF"/>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31FB"/>
    <w:rsid w:val="002333FA"/>
    <w:rsid w:val="002334C9"/>
    <w:rsid w:val="002338CB"/>
    <w:rsid w:val="002339AE"/>
    <w:rsid w:val="00234736"/>
    <w:rsid w:val="002347BE"/>
    <w:rsid w:val="00234B71"/>
    <w:rsid w:val="00234EB3"/>
    <w:rsid w:val="00235668"/>
    <w:rsid w:val="00235A7F"/>
    <w:rsid w:val="00235CA6"/>
    <w:rsid w:val="00236047"/>
    <w:rsid w:val="00236870"/>
    <w:rsid w:val="002368CA"/>
    <w:rsid w:val="00236E1C"/>
    <w:rsid w:val="00236F25"/>
    <w:rsid w:val="0023716A"/>
    <w:rsid w:val="00237291"/>
    <w:rsid w:val="00237491"/>
    <w:rsid w:val="00237A8D"/>
    <w:rsid w:val="002401FA"/>
    <w:rsid w:val="00240793"/>
    <w:rsid w:val="00240977"/>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BAB"/>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F3"/>
    <w:rsid w:val="00252738"/>
    <w:rsid w:val="0025296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3F93"/>
    <w:rsid w:val="00264076"/>
    <w:rsid w:val="002647F3"/>
    <w:rsid w:val="00264E36"/>
    <w:rsid w:val="00264EA4"/>
    <w:rsid w:val="00264FD7"/>
    <w:rsid w:val="00265403"/>
    <w:rsid w:val="00265DB0"/>
    <w:rsid w:val="002662B7"/>
    <w:rsid w:val="00266CD3"/>
    <w:rsid w:val="00266E8C"/>
    <w:rsid w:val="0026778F"/>
    <w:rsid w:val="00267BD1"/>
    <w:rsid w:val="00267D93"/>
    <w:rsid w:val="00267EDB"/>
    <w:rsid w:val="00270694"/>
    <w:rsid w:val="0027074A"/>
    <w:rsid w:val="0027138C"/>
    <w:rsid w:val="00271732"/>
    <w:rsid w:val="00271D39"/>
    <w:rsid w:val="0027200D"/>
    <w:rsid w:val="002724E0"/>
    <w:rsid w:val="002727FB"/>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62C"/>
    <w:rsid w:val="002766BB"/>
    <w:rsid w:val="00276B0B"/>
    <w:rsid w:val="00276B3E"/>
    <w:rsid w:val="00276B5A"/>
    <w:rsid w:val="00276CA2"/>
    <w:rsid w:val="00276E4C"/>
    <w:rsid w:val="00277067"/>
    <w:rsid w:val="002772A1"/>
    <w:rsid w:val="0027773A"/>
    <w:rsid w:val="00277894"/>
    <w:rsid w:val="002778B1"/>
    <w:rsid w:val="00277D32"/>
    <w:rsid w:val="00280124"/>
    <w:rsid w:val="00280282"/>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157"/>
    <w:rsid w:val="002843BD"/>
    <w:rsid w:val="00284D5F"/>
    <w:rsid w:val="00284E0C"/>
    <w:rsid w:val="00284FC1"/>
    <w:rsid w:val="00285467"/>
    <w:rsid w:val="002854D2"/>
    <w:rsid w:val="002858B2"/>
    <w:rsid w:val="00285962"/>
    <w:rsid w:val="00285B33"/>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87E"/>
    <w:rsid w:val="00290D20"/>
    <w:rsid w:val="00290D2C"/>
    <w:rsid w:val="00290D5F"/>
    <w:rsid w:val="00290DDC"/>
    <w:rsid w:val="00291018"/>
    <w:rsid w:val="00291150"/>
    <w:rsid w:val="0029118C"/>
    <w:rsid w:val="0029179F"/>
    <w:rsid w:val="00291924"/>
    <w:rsid w:val="00291980"/>
    <w:rsid w:val="00291BC5"/>
    <w:rsid w:val="00291BE4"/>
    <w:rsid w:val="00292113"/>
    <w:rsid w:val="002923E0"/>
    <w:rsid w:val="002930BA"/>
    <w:rsid w:val="002934D0"/>
    <w:rsid w:val="0029468A"/>
    <w:rsid w:val="00294936"/>
    <w:rsid w:val="00294BA0"/>
    <w:rsid w:val="00294CEC"/>
    <w:rsid w:val="002955B4"/>
    <w:rsid w:val="00295715"/>
    <w:rsid w:val="0029578C"/>
    <w:rsid w:val="00295AE3"/>
    <w:rsid w:val="00295B16"/>
    <w:rsid w:val="00295E68"/>
    <w:rsid w:val="00296045"/>
    <w:rsid w:val="0029626E"/>
    <w:rsid w:val="002963FE"/>
    <w:rsid w:val="0029677D"/>
    <w:rsid w:val="00296A1D"/>
    <w:rsid w:val="00296BFF"/>
    <w:rsid w:val="00296C43"/>
    <w:rsid w:val="00297100"/>
    <w:rsid w:val="002975BC"/>
    <w:rsid w:val="0029786F"/>
    <w:rsid w:val="00297B7A"/>
    <w:rsid w:val="002A0E77"/>
    <w:rsid w:val="002A14BB"/>
    <w:rsid w:val="002A153F"/>
    <w:rsid w:val="002A20AF"/>
    <w:rsid w:val="002A2177"/>
    <w:rsid w:val="002A262B"/>
    <w:rsid w:val="002A2F48"/>
    <w:rsid w:val="002A30C5"/>
    <w:rsid w:val="002A3436"/>
    <w:rsid w:val="002A4181"/>
    <w:rsid w:val="002A461E"/>
    <w:rsid w:val="002A46AA"/>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DB4"/>
    <w:rsid w:val="002B0FED"/>
    <w:rsid w:val="002B1453"/>
    <w:rsid w:val="002B1892"/>
    <w:rsid w:val="002B1AD1"/>
    <w:rsid w:val="002B1D1F"/>
    <w:rsid w:val="002B1D44"/>
    <w:rsid w:val="002B1D60"/>
    <w:rsid w:val="002B1DE8"/>
    <w:rsid w:val="002B1E69"/>
    <w:rsid w:val="002B1FCF"/>
    <w:rsid w:val="002B20F5"/>
    <w:rsid w:val="002B2137"/>
    <w:rsid w:val="002B2B0F"/>
    <w:rsid w:val="002B2C97"/>
    <w:rsid w:val="002B3506"/>
    <w:rsid w:val="002B376F"/>
    <w:rsid w:val="002B38C8"/>
    <w:rsid w:val="002B3F34"/>
    <w:rsid w:val="002B402D"/>
    <w:rsid w:val="002B410F"/>
    <w:rsid w:val="002B42FA"/>
    <w:rsid w:val="002B43BB"/>
    <w:rsid w:val="002B448F"/>
    <w:rsid w:val="002B4748"/>
    <w:rsid w:val="002B480F"/>
    <w:rsid w:val="002B4B2E"/>
    <w:rsid w:val="002B511D"/>
    <w:rsid w:val="002B53A1"/>
    <w:rsid w:val="002B592D"/>
    <w:rsid w:val="002B5A2C"/>
    <w:rsid w:val="002B5A4F"/>
    <w:rsid w:val="002B5C24"/>
    <w:rsid w:val="002B60E3"/>
    <w:rsid w:val="002B67BB"/>
    <w:rsid w:val="002B6BBC"/>
    <w:rsid w:val="002B6BFC"/>
    <w:rsid w:val="002B6E97"/>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2E44"/>
    <w:rsid w:val="002C3375"/>
    <w:rsid w:val="002C3420"/>
    <w:rsid w:val="002C3DC5"/>
    <w:rsid w:val="002C3E7D"/>
    <w:rsid w:val="002C42E2"/>
    <w:rsid w:val="002C46A9"/>
    <w:rsid w:val="002C4894"/>
    <w:rsid w:val="002C5385"/>
    <w:rsid w:val="002C5622"/>
    <w:rsid w:val="002C5BB9"/>
    <w:rsid w:val="002C6069"/>
    <w:rsid w:val="002C6558"/>
    <w:rsid w:val="002C6AB3"/>
    <w:rsid w:val="002C6CBE"/>
    <w:rsid w:val="002C72A3"/>
    <w:rsid w:val="002C7412"/>
    <w:rsid w:val="002C776A"/>
    <w:rsid w:val="002C78DF"/>
    <w:rsid w:val="002C793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2F0F"/>
    <w:rsid w:val="002D362D"/>
    <w:rsid w:val="002D3665"/>
    <w:rsid w:val="002D3848"/>
    <w:rsid w:val="002D388C"/>
    <w:rsid w:val="002D392A"/>
    <w:rsid w:val="002D3C3E"/>
    <w:rsid w:val="002D3D6D"/>
    <w:rsid w:val="002D418C"/>
    <w:rsid w:val="002D42B3"/>
    <w:rsid w:val="002D4466"/>
    <w:rsid w:val="002D44D5"/>
    <w:rsid w:val="002D46CC"/>
    <w:rsid w:val="002D46FC"/>
    <w:rsid w:val="002D4764"/>
    <w:rsid w:val="002D54B0"/>
    <w:rsid w:val="002D5652"/>
    <w:rsid w:val="002D5F86"/>
    <w:rsid w:val="002D6A48"/>
    <w:rsid w:val="002D6F18"/>
    <w:rsid w:val="002D70BB"/>
    <w:rsid w:val="002D739F"/>
    <w:rsid w:val="002D75F2"/>
    <w:rsid w:val="002D7FFD"/>
    <w:rsid w:val="002E0101"/>
    <w:rsid w:val="002E0592"/>
    <w:rsid w:val="002E06A8"/>
    <w:rsid w:val="002E0E55"/>
    <w:rsid w:val="002E1589"/>
    <w:rsid w:val="002E1620"/>
    <w:rsid w:val="002E22A4"/>
    <w:rsid w:val="002E2A58"/>
    <w:rsid w:val="002E43A0"/>
    <w:rsid w:val="002E4454"/>
    <w:rsid w:val="002E4903"/>
    <w:rsid w:val="002E4A53"/>
    <w:rsid w:val="002E4EE9"/>
    <w:rsid w:val="002E541E"/>
    <w:rsid w:val="002E5F86"/>
    <w:rsid w:val="002E631C"/>
    <w:rsid w:val="002E6D0B"/>
    <w:rsid w:val="002E6D42"/>
    <w:rsid w:val="002E71B3"/>
    <w:rsid w:val="002E756E"/>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A9B"/>
    <w:rsid w:val="002F3EF1"/>
    <w:rsid w:val="002F45AE"/>
    <w:rsid w:val="002F46FC"/>
    <w:rsid w:val="002F49CB"/>
    <w:rsid w:val="002F581A"/>
    <w:rsid w:val="002F585C"/>
    <w:rsid w:val="002F61AB"/>
    <w:rsid w:val="002F61D5"/>
    <w:rsid w:val="002F63D7"/>
    <w:rsid w:val="002F65DA"/>
    <w:rsid w:val="002F68BE"/>
    <w:rsid w:val="002F714D"/>
    <w:rsid w:val="002F760C"/>
    <w:rsid w:val="002F77F9"/>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2A"/>
    <w:rsid w:val="0030797D"/>
    <w:rsid w:val="00307A85"/>
    <w:rsid w:val="00307AF5"/>
    <w:rsid w:val="00307D7D"/>
    <w:rsid w:val="00307E97"/>
    <w:rsid w:val="0031018A"/>
    <w:rsid w:val="00310357"/>
    <w:rsid w:val="0031077A"/>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17D4E"/>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5CB"/>
    <w:rsid w:val="003266F1"/>
    <w:rsid w:val="00326C23"/>
    <w:rsid w:val="00326E17"/>
    <w:rsid w:val="00327238"/>
    <w:rsid w:val="0032777F"/>
    <w:rsid w:val="00327F04"/>
    <w:rsid w:val="00330186"/>
    <w:rsid w:val="003301AD"/>
    <w:rsid w:val="0033075F"/>
    <w:rsid w:val="0033084E"/>
    <w:rsid w:val="00330F8C"/>
    <w:rsid w:val="003312ED"/>
    <w:rsid w:val="00331591"/>
    <w:rsid w:val="003315CE"/>
    <w:rsid w:val="003316C2"/>
    <w:rsid w:val="00331E83"/>
    <w:rsid w:val="00331F98"/>
    <w:rsid w:val="00331FB7"/>
    <w:rsid w:val="003320F6"/>
    <w:rsid w:val="00333111"/>
    <w:rsid w:val="0033315D"/>
    <w:rsid w:val="00333726"/>
    <w:rsid w:val="003339D7"/>
    <w:rsid w:val="00333B35"/>
    <w:rsid w:val="0033431A"/>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235"/>
    <w:rsid w:val="00340554"/>
    <w:rsid w:val="00340FCB"/>
    <w:rsid w:val="00341395"/>
    <w:rsid w:val="003420CF"/>
    <w:rsid w:val="00342554"/>
    <w:rsid w:val="003425C3"/>
    <w:rsid w:val="00342ABA"/>
    <w:rsid w:val="00342F2D"/>
    <w:rsid w:val="00343B32"/>
    <w:rsid w:val="00343FF7"/>
    <w:rsid w:val="00344012"/>
    <w:rsid w:val="00344075"/>
    <w:rsid w:val="003440EE"/>
    <w:rsid w:val="00344427"/>
    <w:rsid w:val="00344820"/>
    <w:rsid w:val="0034483D"/>
    <w:rsid w:val="00344DE1"/>
    <w:rsid w:val="00344E15"/>
    <w:rsid w:val="00345050"/>
    <w:rsid w:val="003450BA"/>
    <w:rsid w:val="0034523F"/>
    <w:rsid w:val="003453A3"/>
    <w:rsid w:val="0034575C"/>
    <w:rsid w:val="00345818"/>
    <w:rsid w:val="00345CD7"/>
    <w:rsid w:val="00345E81"/>
    <w:rsid w:val="00346B67"/>
    <w:rsid w:val="00347716"/>
    <w:rsid w:val="00347EE4"/>
    <w:rsid w:val="003509C5"/>
    <w:rsid w:val="00350B1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A37"/>
    <w:rsid w:val="00353CF3"/>
    <w:rsid w:val="00353F60"/>
    <w:rsid w:val="003543B8"/>
    <w:rsid w:val="0035444A"/>
    <w:rsid w:val="00354D22"/>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04E"/>
    <w:rsid w:val="0036353C"/>
    <w:rsid w:val="00363940"/>
    <w:rsid w:val="00363950"/>
    <w:rsid w:val="0036396E"/>
    <w:rsid w:val="00363A1E"/>
    <w:rsid w:val="00363BB4"/>
    <w:rsid w:val="003640A0"/>
    <w:rsid w:val="00364173"/>
    <w:rsid w:val="00364646"/>
    <w:rsid w:val="003649DD"/>
    <w:rsid w:val="00364CC9"/>
    <w:rsid w:val="00365345"/>
    <w:rsid w:val="0036548D"/>
    <w:rsid w:val="003654F8"/>
    <w:rsid w:val="0036587C"/>
    <w:rsid w:val="00366ED5"/>
    <w:rsid w:val="00366FCF"/>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2F6"/>
    <w:rsid w:val="00376405"/>
    <w:rsid w:val="00376900"/>
    <w:rsid w:val="00377139"/>
    <w:rsid w:val="003775BD"/>
    <w:rsid w:val="00377625"/>
    <w:rsid w:val="0037766B"/>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9A7"/>
    <w:rsid w:val="00381CEC"/>
    <w:rsid w:val="00382029"/>
    <w:rsid w:val="003825DF"/>
    <w:rsid w:val="00382607"/>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240"/>
    <w:rsid w:val="003864D8"/>
    <w:rsid w:val="003864F0"/>
    <w:rsid w:val="00386B1C"/>
    <w:rsid w:val="00386F9D"/>
    <w:rsid w:val="003870CF"/>
    <w:rsid w:val="00387142"/>
    <w:rsid w:val="003871F3"/>
    <w:rsid w:val="0038757B"/>
    <w:rsid w:val="0038773F"/>
    <w:rsid w:val="00387A3B"/>
    <w:rsid w:val="00387E17"/>
    <w:rsid w:val="00390B38"/>
    <w:rsid w:val="00391BA0"/>
    <w:rsid w:val="00391EE7"/>
    <w:rsid w:val="0039200D"/>
    <w:rsid w:val="003920C6"/>
    <w:rsid w:val="00392299"/>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A14"/>
    <w:rsid w:val="003A5B89"/>
    <w:rsid w:val="003A5BDE"/>
    <w:rsid w:val="003A5D87"/>
    <w:rsid w:val="003A5E2D"/>
    <w:rsid w:val="003A64A8"/>
    <w:rsid w:val="003A65C1"/>
    <w:rsid w:val="003A66FA"/>
    <w:rsid w:val="003A6DA7"/>
    <w:rsid w:val="003A7304"/>
    <w:rsid w:val="003A74F1"/>
    <w:rsid w:val="003A7635"/>
    <w:rsid w:val="003A767D"/>
    <w:rsid w:val="003A7A2C"/>
    <w:rsid w:val="003A7CC8"/>
    <w:rsid w:val="003A7DEE"/>
    <w:rsid w:val="003A7E78"/>
    <w:rsid w:val="003B08D4"/>
    <w:rsid w:val="003B0A48"/>
    <w:rsid w:val="003B0BAB"/>
    <w:rsid w:val="003B0BDD"/>
    <w:rsid w:val="003B1155"/>
    <w:rsid w:val="003B1301"/>
    <w:rsid w:val="003B1BC5"/>
    <w:rsid w:val="003B21C8"/>
    <w:rsid w:val="003B2432"/>
    <w:rsid w:val="003B2CAA"/>
    <w:rsid w:val="003B2DAA"/>
    <w:rsid w:val="003B35A7"/>
    <w:rsid w:val="003B3A67"/>
    <w:rsid w:val="003B3C59"/>
    <w:rsid w:val="003B40A1"/>
    <w:rsid w:val="003B4459"/>
    <w:rsid w:val="003B5378"/>
    <w:rsid w:val="003B558B"/>
    <w:rsid w:val="003B59BD"/>
    <w:rsid w:val="003B5BB3"/>
    <w:rsid w:val="003B5CFC"/>
    <w:rsid w:val="003B6062"/>
    <w:rsid w:val="003B6A83"/>
    <w:rsid w:val="003B6CFC"/>
    <w:rsid w:val="003B6F9A"/>
    <w:rsid w:val="003B734B"/>
    <w:rsid w:val="003B7560"/>
    <w:rsid w:val="003B75DA"/>
    <w:rsid w:val="003B7A49"/>
    <w:rsid w:val="003B7A91"/>
    <w:rsid w:val="003B7B85"/>
    <w:rsid w:val="003B7D08"/>
    <w:rsid w:val="003B7FF3"/>
    <w:rsid w:val="003C074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6F4C"/>
    <w:rsid w:val="003C714B"/>
    <w:rsid w:val="003C73EE"/>
    <w:rsid w:val="003C7AA5"/>
    <w:rsid w:val="003D0303"/>
    <w:rsid w:val="003D05D2"/>
    <w:rsid w:val="003D0E4E"/>
    <w:rsid w:val="003D0FDC"/>
    <w:rsid w:val="003D0FFB"/>
    <w:rsid w:val="003D1038"/>
    <w:rsid w:val="003D1152"/>
    <w:rsid w:val="003D1ADB"/>
    <w:rsid w:val="003D1BFA"/>
    <w:rsid w:val="003D1D0C"/>
    <w:rsid w:val="003D2485"/>
    <w:rsid w:val="003D2933"/>
    <w:rsid w:val="003D29C5"/>
    <w:rsid w:val="003D2EDC"/>
    <w:rsid w:val="003D3521"/>
    <w:rsid w:val="003D3817"/>
    <w:rsid w:val="003D4086"/>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2352"/>
    <w:rsid w:val="003E2D05"/>
    <w:rsid w:val="003E2D3A"/>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A4C"/>
    <w:rsid w:val="003F5B00"/>
    <w:rsid w:val="003F693C"/>
    <w:rsid w:val="003F6E56"/>
    <w:rsid w:val="003F7287"/>
    <w:rsid w:val="003F7856"/>
    <w:rsid w:val="003F7BE6"/>
    <w:rsid w:val="003F7C24"/>
    <w:rsid w:val="00400FC6"/>
    <w:rsid w:val="00400FD6"/>
    <w:rsid w:val="00400FFC"/>
    <w:rsid w:val="0040146D"/>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18C"/>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D73"/>
    <w:rsid w:val="00415EAF"/>
    <w:rsid w:val="00416723"/>
    <w:rsid w:val="004168F2"/>
    <w:rsid w:val="00416D1C"/>
    <w:rsid w:val="0041703D"/>
    <w:rsid w:val="00417067"/>
    <w:rsid w:val="00417203"/>
    <w:rsid w:val="00417228"/>
    <w:rsid w:val="00417250"/>
    <w:rsid w:val="00417973"/>
    <w:rsid w:val="00420407"/>
    <w:rsid w:val="00420B0A"/>
    <w:rsid w:val="00420F3A"/>
    <w:rsid w:val="00420F5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329"/>
    <w:rsid w:val="0043043F"/>
    <w:rsid w:val="004305D9"/>
    <w:rsid w:val="00430C5F"/>
    <w:rsid w:val="004312B6"/>
    <w:rsid w:val="00431426"/>
    <w:rsid w:val="00431562"/>
    <w:rsid w:val="00431B0C"/>
    <w:rsid w:val="00431B3A"/>
    <w:rsid w:val="00431C3A"/>
    <w:rsid w:val="00431DDB"/>
    <w:rsid w:val="00431F2D"/>
    <w:rsid w:val="004324EB"/>
    <w:rsid w:val="004326D9"/>
    <w:rsid w:val="0043339D"/>
    <w:rsid w:val="0043356A"/>
    <w:rsid w:val="00433B53"/>
    <w:rsid w:val="00433F90"/>
    <w:rsid w:val="00434CD8"/>
    <w:rsid w:val="0043506F"/>
    <w:rsid w:val="0043517A"/>
    <w:rsid w:val="00435207"/>
    <w:rsid w:val="00435A12"/>
    <w:rsid w:val="00435F83"/>
    <w:rsid w:val="00435FE0"/>
    <w:rsid w:val="0043601B"/>
    <w:rsid w:val="00436117"/>
    <w:rsid w:val="0043624E"/>
    <w:rsid w:val="004365C7"/>
    <w:rsid w:val="00436630"/>
    <w:rsid w:val="004366A9"/>
    <w:rsid w:val="004368EA"/>
    <w:rsid w:val="00436BA1"/>
    <w:rsid w:val="00436EDE"/>
    <w:rsid w:val="00436F1A"/>
    <w:rsid w:val="00437159"/>
    <w:rsid w:val="00437361"/>
    <w:rsid w:val="00437433"/>
    <w:rsid w:val="0043743A"/>
    <w:rsid w:val="004377CB"/>
    <w:rsid w:val="00437AAE"/>
    <w:rsid w:val="00437B53"/>
    <w:rsid w:val="004401CA"/>
    <w:rsid w:val="004401FB"/>
    <w:rsid w:val="004404C0"/>
    <w:rsid w:val="0044057F"/>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8D7"/>
    <w:rsid w:val="00450AE0"/>
    <w:rsid w:val="00450D86"/>
    <w:rsid w:val="004510C4"/>
    <w:rsid w:val="004511EF"/>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C82"/>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041"/>
    <w:rsid w:val="0047048A"/>
    <w:rsid w:val="00470D03"/>
    <w:rsid w:val="0047107E"/>
    <w:rsid w:val="0047114C"/>
    <w:rsid w:val="00471446"/>
    <w:rsid w:val="00471A0B"/>
    <w:rsid w:val="00471F7A"/>
    <w:rsid w:val="00471FD5"/>
    <w:rsid w:val="004720F7"/>
    <w:rsid w:val="00472E37"/>
    <w:rsid w:val="00473053"/>
    <w:rsid w:val="0047364F"/>
    <w:rsid w:val="00473730"/>
    <w:rsid w:val="0047374E"/>
    <w:rsid w:val="00473A01"/>
    <w:rsid w:val="00473C2E"/>
    <w:rsid w:val="00473DC3"/>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64"/>
    <w:rsid w:val="00477FE3"/>
    <w:rsid w:val="004800BF"/>
    <w:rsid w:val="00480584"/>
    <w:rsid w:val="00481813"/>
    <w:rsid w:val="004819F0"/>
    <w:rsid w:val="004825B2"/>
    <w:rsid w:val="00482B81"/>
    <w:rsid w:val="00482F1E"/>
    <w:rsid w:val="00482F3D"/>
    <w:rsid w:val="00483113"/>
    <w:rsid w:val="004834CD"/>
    <w:rsid w:val="00483577"/>
    <w:rsid w:val="004835E4"/>
    <w:rsid w:val="00483A6D"/>
    <w:rsid w:val="00484225"/>
    <w:rsid w:val="00484A89"/>
    <w:rsid w:val="00484FD7"/>
    <w:rsid w:val="004853E5"/>
    <w:rsid w:val="00486046"/>
    <w:rsid w:val="004868E8"/>
    <w:rsid w:val="00486A89"/>
    <w:rsid w:val="00487386"/>
    <w:rsid w:val="004875C4"/>
    <w:rsid w:val="00487BA4"/>
    <w:rsid w:val="00490111"/>
    <w:rsid w:val="0049099D"/>
    <w:rsid w:val="004913A8"/>
    <w:rsid w:val="00491985"/>
    <w:rsid w:val="00491DB8"/>
    <w:rsid w:val="004921C7"/>
    <w:rsid w:val="0049264B"/>
    <w:rsid w:val="00492C71"/>
    <w:rsid w:val="00492CFE"/>
    <w:rsid w:val="004932C7"/>
    <w:rsid w:val="004933D5"/>
    <w:rsid w:val="004935A9"/>
    <w:rsid w:val="00493B57"/>
    <w:rsid w:val="00493EB7"/>
    <w:rsid w:val="0049405E"/>
    <w:rsid w:val="00494655"/>
    <w:rsid w:val="00494AC5"/>
    <w:rsid w:val="00495118"/>
    <w:rsid w:val="004953FE"/>
    <w:rsid w:val="00495917"/>
    <w:rsid w:val="00495F8B"/>
    <w:rsid w:val="00496455"/>
    <w:rsid w:val="004965DB"/>
    <w:rsid w:val="00496A8A"/>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87"/>
    <w:rsid w:val="004A4313"/>
    <w:rsid w:val="004A4613"/>
    <w:rsid w:val="004A4813"/>
    <w:rsid w:val="004A48B2"/>
    <w:rsid w:val="004A4DA8"/>
    <w:rsid w:val="004A5CDD"/>
    <w:rsid w:val="004A62A0"/>
    <w:rsid w:val="004A6688"/>
    <w:rsid w:val="004A68EB"/>
    <w:rsid w:val="004A6EB6"/>
    <w:rsid w:val="004A6F98"/>
    <w:rsid w:val="004A7719"/>
    <w:rsid w:val="004A7749"/>
    <w:rsid w:val="004A788E"/>
    <w:rsid w:val="004A78A2"/>
    <w:rsid w:val="004B030C"/>
    <w:rsid w:val="004B03E6"/>
    <w:rsid w:val="004B0D04"/>
    <w:rsid w:val="004B0E52"/>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36"/>
    <w:rsid w:val="004B4E44"/>
    <w:rsid w:val="004B4F68"/>
    <w:rsid w:val="004B504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93F"/>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2754"/>
    <w:rsid w:val="004E36A2"/>
    <w:rsid w:val="004E3C56"/>
    <w:rsid w:val="004E3FF2"/>
    <w:rsid w:val="004E4742"/>
    <w:rsid w:val="004E4DEE"/>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7E5"/>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670"/>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1C1"/>
    <w:rsid w:val="005012D9"/>
    <w:rsid w:val="00501406"/>
    <w:rsid w:val="00501530"/>
    <w:rsid w:val="005015D7"/>
    <w:rsid w:val="0050178F"/>
    <w:rsid w:val="00501ACD"/>
    <w:rsid w:val="00501B55"/>
    <w:rsid w:val="00501CB0"/>
    <w:rsid w:val="00501FDB"/>
    <w:rsid w:val="0050208A"/>
    <w:rsid w:val="00502193"/>
    <w:rsid w:val="005024EA"/>
    <w:rsid w:val="005026E9"/>
    <w:rsid w:val="00502C62"/>
    <w:rsid w:val="00503063"/>
    <w:rsid w:val="00503193"/>
    <w:rsid w:val="0050319A"/>
    <w:rsid w:val="0050319C"/>
    <w:rsid w:val="0050321E"/>
    <w:rsid w:val="005033A4"/>
    <w:rsid w:val="00504060"/>
    <w:rsid w:val="00504360"/>
    <w:rsid w:val="005045A1"/>
    <w:rsid w:val="00505421"/>
    <w:rsid w:val="005055DB"/>
    <w:rsid w:val="00505CCD"/>
    <w:rsid w:val="00505DA9"/>
    <w:rsid w:val="00505E6E"/>
    <w:rsid w:val="005060E7"/>
    <w:rsid w:val="005061F3"/>
    <w:rsid w:val="00506A78"/>
    <w:rsid w:val="00506BBA"/>
    <w:rsid w:val="00506C7D"/>
    <w:rsid w:val="00506EFF"/>
    <w:rsid w:val="005074F1"/>
    <w:rsid w:val="005075BA"/>
    <w:rsid w:val="00507867"/>
    <w:rsid w:val="00507C88"/>
    <w:rsid w:val="00510075"/>
    <w:rsid w:val="005101DB"/>
    <w:rsid w:val="00510575"/>
    <w:rsid w:val="00510A35"/>
    <w:rsid w:val="00510AAB"/>
    <w:rsid w:val="00510B5A"/>
    <w:rsid w:val="005113D4"/>
    <w:rsid w:val="0051147C"/>
    <w:rsid w:val="0051153C"/>
    <w:rsid w:val="00511C47"/>
    <w:rsid w:val="00511CE4"/>
    <w:rsid w:val="00511E05"/>
    <w:rsid w:val="00511FFE"/>
    <w:rsid w:val="00512025"/>
    <w:rsid w:val="00512D11"/>
    <w:rsid w:val="00512E9D"/>
    <w:rsid w:val="00512F1D"/>
    <w:rsid w:val="005132AA"/>
    <w:rsid w:val="005135BD"/>
    <w:rsid w:val="0051363A"/>
    <w:rsid w:val="00513777"/>
    <w:rsid w:val="00513D37"/>
    <w:rsid w:val="00513DBC"/>
    <w:rsid w:val="00513F90"/>
    <w:rsid w:val="0051412F"/>
    <w:rsid w:val="005142BE"/>
    <w:rsid w:val="00514664"/>
    <w:rsid w:val="00514CC5"/>
    <w:rsid w:val="00515320"/>
    <w:rsid w:val="0051544B"/>
    <w:rsid w:val="00515519"/>
    <w:rsid w:val="00515646"/>
    <w:rsid w:val="005158DD"/>
    <w:rsid w:val="00515AA5"/>
    <w:rsid w:val="00515F80"/>
    <w:rsid w:val="00516276"/>
    <w:rsid w:val="0051668F"/>
    <w:rsid w:val="005166EE"/>
    <w:rsid w:val="005172D6"/>
    <w:rsid w:val="00517571"/>
    <w:rsid w:val="00517687"/>
    <w:rsid w:val="005178AE"/>
    <w:rsid w:val="00517CBA"/>
    <w:rsid w:val="00517F6D"/>
    <w:rsid w:val="005206C1"/>
    <w:rsid w:val="00520906"/>
    <w:rsid w:val="00520A84"/>
    <w:rsid w:val="00521269"/>
    <w:rsid w:val="0052139F"/>
    <w:rsid w:val="00521442"/>
    <w:rsid w:val="005219DA"/>
    <w:rsid w:val="005221B8"/>
    <w:rsid w:val="0052248B"/>
    <w:rsid w:val="005227C3"/>
    <w:rsid w:val="00522CB7"/>
    <w:rsid w:val="005230F3"/>
    <w:rsid w:val="005237AF"/>
    <w:rsid w:val="0052390C"/>
    <w:rsid w:val="005239A5"/>
    <w:rsid w:val="00523ECD"/>
    <w:rsid w:val="00524397"/>
    <w:rsid w:val="005244CC"/>
    <w:rsid w:val="00524852"/>
    <w:rsid w:val="00524B6F"/>
    <w:rsid w:val="005250F2"/>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0D64"/>
    <w:rsid w:val="00531508"/>
    <w:rsid w:val="0053197B"/>
    <w:rsid w:val="00531A84"/>
    <w:rsid w:val="00531C94"/>
    <w:rsid w:val="00531F23"/>
    <w:rsid w:val="00532818"/>
    <w:rsid w:val="00534239"/>
    <w:rsid w:val="005345D8"/>
    <w:rsid w:val="005349D6"/>
    <w:rsid w:val="005349F6"/>
    <w:rsid w:val="00534A63"/>
    <w:rsid w:val="0053504C"/>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680"/>
    <w:rsid w:val="0054068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413"/>
    <w:rsid w:val="005425F9"/>
    <w:rsid w:val="00542D8D"/>
    <w:rsid w:val="00542DA1"/>
    <w:rsid w:val="00542E96"/>
    <w:rsid w:val="005430F9"/>
    <w:rsid w:val="005431CB"/>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AEC"/>
    <w:rsid w:val="00546CA7"/>
    <w:rsid w:val="00546E18"/>
    <w:rsid w:val="00546FA6"/>
    <w:rsid w:val="00546FC6"/>
    <w:rsid w:val="00547060"/>
    <w:rsid w:val="0054776B"/>
    <w:rsid w:val="00547874"/>
    <w:rsid w:val="005502DC"/>
    <w:rsid w:val="0055049C"/>
    <w:rsid w:val="00550B17"/>
    <w:rsid w:val="00551928"/>
    <w:rsid w:val="00551A84"/>
    <w:rsid w:val="00551BF1"/>
    <w:rsid w:val="005521AB"/>
    <w:rsid w:val="005522EE"/>
    <w:rsid w:val="0055248B"/>
    <w:rsid w:val="0055281E"/>
    <w:rsid w:val="00552A2E"/>
    <w:rsid w:val="00552AD3"/>
    <w:rsid w:val="00552CA5"/>
    <w:rsid w:val="00552D49"/>
    <w:rsid w:val="00552F3D"/>
    <w:rsid w:val="005534FA"/>
    <w:rsid w:val="00553792"/>
    <w:rsid w:val="00553A1A"/>
    <w:rsid w:val="00553D3E"/>
    <w:rsid w:val="00553E64"/>
    <w:rsid w:val="005542C7"/>
    <w:rsid w:val="00554860"/>
    <w:rsid w:val="00554FA8"/>
    <w:rsid w:val="00554FE9"/>
    <w:rsid w:val="005550B3"/>
    <w:rsid w:val="005554AD"/>
    <w:rsid w:val="005559C1"/>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3D"/>
    <w:rsid w:val="00561286"/>
    <w:rsid w:val="00561373"/>
    <w:rsid w:val="00561A59"/>
    <w:rsid w:val="00561C96"/>
    <w:rsid w:val="00561CDA"/>
    <w:rsid w:val="00561ED1"/>
    <w:rsid w:val="00562460"/>
    <w:rsid w:val="0056284B"/>
    <w:rsid w:val="00562EB9"/>
    <w:rsid w:val="00563D96"/>
    <w:rsid w:val="00563F1D"/>
    <w:rsid w:val="005656B0"/>
    <w:rsid w:val="00565916"/>
    <w:rsid w:val="00565E62"/>
    <w:rsid w:val="00566092"/>
    <w:rsid w:val="005666C9"/>
    <w:rsid w:val="00566A29"/>
    <w:rsid w:val="00566DF3"/>
    <w:rsid w:val="0056753C"/>
    <w:rsid w:val="00567A81"/>
    <w:rsid w:val="00567EFB"/>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43"/>
    <w:rsid w:val="005800F2"/>
    <w:rsid w:val="0058012A"/>
    <w:rsid w:val="005806F1"/>
    <w:rsid w:val="00580820"/>
    <w:rsid w:val="00580AFD"/>
    <w:rsid w:val="00580EFF"/>
    <w:rsid w:val="0058210C"/>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50B"/>
    <w:rsid w:val="00592940"/>
    <w:rsid w:val="00592B68"/>
    <w:rsid w:val="00592C26"/>
    <w:rsid w:val="00592CB1"/>
    <w:rsid w:val="00592D2B"/>
    <w:rsid w:val="00593768"/>
    <w:rsid w:val="00593AF9"/>
    <w:rsid w:val="00594162"/>
    <w:rsid w:val="00594396"/>
    <w:rsid w:val="0059463B"/>
    <w:rsid w:val="00594B07"/>
    <w:rsid w:val="00594C15"/>
    <w:rsid w:val="005952A6"/>
    <w:rsid w:val="00595F6D"/>
    <w:rsid w:val="005960C9"/>
    <w:rsid w:val="00596956"/>
    <w:rsid w:val="00596AB8"/>
    <w:rsid w:val="00596D40"/>
    <w:rsid w:val="005970DC"/>
    <w:rsid w:val="00597266"/>
    <w:rsid w:val="00597280"/>
    <w:rsid w:val="00597536"/>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602"/>
    <w:rsid w:val="005A581E"/>
    <w:rsid w:val="005A58D4"/>
    <w:rsid w:val="005A5A7F"/>
    <w:rsid w:val="005A5AF0"/>
    <w:rsid w:val="005A5B91"/>
    <w:rsid w:val="005A5FE1"/>
    <w:rsid w:val="005A61B9"/>
    <w:rsid w:val="005A677E"/>
    <w:rsid w:val="005A6FA3"/>
    <w:rsid w:val="005A7091"/>
    <w:rsid w:val="005A70EE"/>
    <w:rsid w:val="005A7421"/>
    <w:rsid w:val="005A7B0C"/>
    <w:rsid w:val="005A7C6E"/>
    <w:rsid w:val="005B083D"/>
    <w:rsid w:val="005B0C78"/>
    <w:rsid w:val="005B1D51"/>
    <w:rsid w:val="005B1EB0"/>
    <w:rsid w:val="005B235D"/>
    <w:rsid w:val="005B2515"/>
    <w:rsid w:val="005B2A14"/>
    <w:rsid w:val="005B2D34"/>
    <w:rsid w:val="005B3146"/>
    <w:rsid w:val="005B31C4"/>
    <w:rsid w:val="005B325E"/>
    <w:rsid w:val="005B3370"/>
    <w:rsid w:val="005B3B82"/>
    <w:rsid w:val="005B3B9D"/>
    <w:rsid w:val="005B3BE8"/>
    <w:rsid w:val="005B3C78"/>
    <w:rsid w:val="005B3E1E"/>
    <w:rsid w:val="005B404F"/>
    <w:rsid w:val="005B406E"/>
    <w:rsid w:val="005B46CB"/>
    <w:rsid w:val="005B4829"/>
    <w:rsid w:val="005B4A51"/>
    <w:rsid w:val="005B4B7F"/>
    <w:rsid w:val="005B4D7E"/>
    <w:rsid w:val="005B4DA3"/>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BF9"/>
    <w:rsid w:val="005B7D2C"/>
    <w:rsid w:val="005B7E09"/>
    <w:rsid w:val="005B7EE3"/>
    <w:rsid w:val="005B7F18"/>
    <w:rsid w:val="005C0023"/>
    <w:rsid w:val="005C00F4"/>
    <w:rsid w:val="005C02E3"/>
    <w:rsid w:val="005C0E08"/>
    <w:rsid w:val="005C0FBC"/>
    <w:rsid w:val="005C15F3"/>
    <w:rsid w:val="005C1C73"/>
    <w:rsid w:val="005C2767"/>
    <w:rsid w:val="005C30C0"/>
    <w:rsid w:val="005C343E"/>
    <w:rsid w:val="005C3840"/>
    <w:rsid w:val="005C384E"/>
    <w:rsid w:val="005C3C17"/>
    <w:rsid w:val="005C3DFA"/>
    <w:rsid w:val="005C3ED6"/>
    <w:rsid w:val="005C4013"/>
    <w:rsid w:val="005C4379"/>
    <w:rsid w:val="005C4540"/>
    <w:rsid w:val="005C4660"/>
    <w:rsid w:val="005C4C4E"/>
    <w:rsid w:val="005C514C"/>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7E"/>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525"/>
    <w:rsid w:val="005E3716"/>
    <w:rsid w:val="005E38B2"/>
    <w:rsid w:val="005E3E59"/>
    <w:rsid w:val="005E3FF5"/>
    <w:rsid w:val="005E4215"/>
    <w:rsid w:val="005E44FB"/>
    <w:rsid w:val="005E4625"/>
    <w:rsid w:val="005E4BD6"/>
    <w:rsid w:val="005E4FA2"/>
    <w:rsid w:val="005E53D0"/>
    <w:rsid w:val="005E5576"/>
    <w:rsid w:val="005E58CC"/>
    <w:rsid w:val="005E5952"/>
    <w:rsid w:val="005E59B7"/>
    <w:rsid w:val="005E5A8C"/>
    <w:rsid w:val="005E5F39"/>
    <w:rsid w:val="005E6242"/>
    <w:rsid w:val="005E677D"/>
    <w:rsid w:val="005E6AC2"/>
    <w:rsid w:val="005E7240"/>
    <w:rsid w:val="005E72A2"/>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4A08"/>
    <w:rsid w:val="005F4E34"/>
    <w:rsid w:val="005F524F"/>
    <w:rsid w:val="005F6029"/>
    <w:rsid w:val="005F604A"/>
    <w:rsid w:val="005F60E7"/>
    <w:rsid w:val="005F6717"/>
    <w:rsid w:val="005F6A1E"/>
    <w:rsid w:val="005F6A3B"/>
    <w:rsid w:val="005F7443"/>
    <w:rsid w:val="005F7732"/>
    <w:rsid w:val="005F7973"/>
    <w:rsid w:val="006000B5"/>
    <w:rsid w:val="0060018E"/>
    <w:rsid w:val="00600323"/>
    <w:rsid w:val="006007BB"/>
    <w:rsid w:val="00600903"/>
    <w:rsid w:val="00600C64"/>
    <w:rsid w:val="00600C74"/>
    <w:rsid w:val="00600F73"/>
    <w:rsid w:val="00600F81"/>
    <w:rsid w:val="0060131A"/>
    <w:rsid w:val="00601402"/>
    <w:rsid w:val="006016CA"/>
    <w:rsid w:val="00601B90"/>
    <w:rsid w:val="00601E05"/>
    <w:rsid w:val="00601E14"/>
    <w:rsid w:val="00601F82"/>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5A6"/>
    <w:rsid w:val="006077C5"/>
    <w:rsid w:val="00607836"/>
    <w:rsid w:val="00607E9B"/>
    <w:rsid w:val="00610438"/>
    <w:rsid w:val="0061099C"/>
    <w:rsid w:val="006111E0"/>
    <w:rsid w:val="00611425"/>
    <w:rsid w:val="00611B56"/>
    <w:rsid w:val="0061201C"/>
    <w:rsid w:val="00612964"/>
    <w:rsid w:val="0061338C"/>
    <w:rsid w:val="0061339E"/>
    <w:rsid w:val="00613466"/>
    <w:rsid w:val="00613531"/>
    <w:rsid w:val="00613A0F"/>
    <w:rsid w:val="00613B99"/>
    <w:rsid w:val="00613BA9"/>
    <w:rsid w:val="00614004"/>
    <w:rsid w:val="00614265"/>
    <w:rsid w:val="00614320"/>
    <w:rsid w:val="006144D8"/>
    <w:rsid w:val="00614552"/>
    <w:rsid w:val="0061494F"/>
    <w:rsid w:val="00614BE5"/>
    <w:rsid w:val="00614C31"/>
    <w:rsid w:val="00615EBF"/>
    <w:rsid w:val="006164D9"/>
    <w:rsid w:val="0061696E"/>
    <w:rsid w:val="00616CB4"/>
    <w:rsid w:val="00617147"/>
    <w:rsid w:val="006172F6"/>
    <w:rsid w:val="006179F8"/>
    <w:rsid w:val="00617A02"/>
    <w:rsid w:val="00617A14"/>
    <w:rsid w:val="00617BD0"/>
    <w:rsid w:val="006204B2"/>
    <w:rsid w:val="006204D9"/>
    <w:rsid w:val="00620709"/>
    <w:rsid w:val="00620C13"/>
    <w:rsid w:val="00620C1C"/>
    <w:rsid w:val="00620C25"/>
    <w:rsid w:val="00620DA8"/>
    <w:rsid w:val="0062166B"/>
    <w:rsid w:val="0062193A"/>
    <w:rsid w:val="00621C65"/>
    <w:rsid w:val="00622201"/>
    <w:rsid w:val="006223DB"/>
    <w:rsid w:val="006229E7"/>
    <w:rsid w:val="0062346E"/>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87"/>
    <w:rsid w:val="006302F0"/>
    <w:rsid w:val="00630482"/>
    <w:rsid w:val="00630A36"/>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0A10"/>
    <w:rsid w:val="00641078"/>
    <w:rsid w:val="0064128F"/>
    <w:rsid w:val="0064182B"/>
    <w:rsid w:val="00641AA7"/>
    <w:rsid w:val="00641BFE"/>
    <w:rsid w:val="00641D7F"/>
    <w:rsid w:val="00641E64"/>
    <w:rsid w:val="00642E9A"/>
    <w:rsid w:val="00643692"/>
    <w:rsid w:val="00643907"/>
    <w:rsid w:val="00643B87"/>
    <w:rsid w:val="00643C8B"/>
    <w:rsid w:val="006443AC"/>
    <w:rsid w:val="006449EC"/>
    <w:rsid w:val="00644F55"/>
    <w:rsid w:val="00645975"/>
    <w:rsid w:val="00645FF5"/>
    <w:rsid w:val="00646126"/>
    <w:rsid w:val="00646313"/>
    <w:rsid w:val="00646358"/>
    <w:rsid w:val="00646386"/>
    <w:rsid w:val="0064644A"/>
    <w:rsid w:val="006467CD"/>
    <w:rsid w:val="00646B75"/>
    <w:rsid w:val="00646CCB"/>
    <w:rsid w:val="00646E73"/>
    <w:rsid w:val="00647183"/>
    <w:rsid w:val="0064744D"/>
    <w:rsid w:val="00647620"/>
    <w:rsid w:val="006476CE"/>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783"/>
    <w:rsid w:val="00653AD4"/>
    <w:rsid w:val="00653B3F"/>
    <w:rsid w:val="00653BCE"/>
    <w:rsid w:val="00653F83"/>
    <w:rsid w:val="00654428"/>
    <w:rsid w:val="00654737"/>
    <w:rsid w:val="00654851"/>
    <w:rsid w:val="00654923"/>
    <w:rsid w:val="0065493A"/>
    <w:rsid w:val="00654A26"/>
    <w:rsid w:val="00654BB8"/>
    <w:rsid w:val="00654BC3"/>
    <w:rsid w:val="00654C66"/>
    <w:rsid w:val="00654CF7"/>
    <w:rsid w:val="00654F04"/>
    <w:rsid w:val="006553A0"/>
    <w:rsid w:val="00655492"/>
    <w:rsid w:val="00655872"/>
    <w:rsid w:val="00655A0B"/>
    <w:rsid w:val="00655B86"/>
    <w:rsid w:val="00655E28"/>
    <w:rsid w:val="006561CB"/>
    <w:rsid w:val="00656562"/>
    <w:rsid w:val="00656B8A"/>
    <w:rsid w:val="00657043"/>
    <w:rsid w:val="00657305"/>
    <w:rsid w:val="00657526"/>
    <w:rsid w:val="00657534"/>
    <w:rsid w:val="00657933"/>
    <w:rsid w:val="00657AFD"/>
    <w:rsid w:val="00657FDE"/>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AF8"/>
    <w:rsid w:val="00664E13"/>
    <w:rsid w:val="00665352"/>
    <w:rsid w:val="00665536"/>
    <w:rsid w:val="00665825"/>
    <w:rsid w:val="00665873"/>
    <w:rsid w:val="006665F1"/>
    <w:rsid w:val="006668F1"/>
    <w:rsid w:val="00666D19"/>
    <w:rsid w:val="00666E20"/>
    <w:rsid w:val="00666FD4"/>
    <w:rsid w:val="0066724A"/>
    <w:rsid w:val="00667429"/>
    <w:rsid w:val="00667515"/>
    <w:rsid w:val="006676D8"/>
    <w:rsid w:val="00667F7C"/>
    <w:rsid w:val="00670651"/>
    <w:rsid w:val="006709A0"/>
    <w:rsid w:val="00670C56"/>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9A3"/>
    <w:rsid w:val="00675CCC"/>
    <w:rsid w:val="0067620A"/>
    <w:rsid w:val="00676364"/>
    <w:rsid w:val="0067654E"/>
    <w:rsid w:val="006766BE"/>
    <w:rsid w:val="0067685F"/>
    <w:rsid w:val="006768CD"/>
    <w:rsid w:val="006774CA"/>
    <w:rsid w:val="006774E5"/>
    <w:rsid w:val="006776D2"/>
    <w:rsid w:val="006777C6"/>
    <w:rsid w:val="00677AA1"/>
    <w:rsid w:val="00677BA6"/>
    <w:rsid w:val="00677C2E"/>
    <w:rsid w:val="00677E5D"/>
    <w:rsid w:val="00677F05"/>
    <w:rsid w:val="0068020C"/>
    <w:rsid w:val="0068025C"/>
    <w:rsid w:val="0068064C"/>
    <w:rsid w:val="006807C5"/>
    <w:rsid w:val="006809FA"/>
    <w:rsid w:val="00680D5C"/>
    <w:rsid w:val="00680D5D"/>
    <w:rsid w:val="00680E32"/>
    <w:rsid w:val="0068106F"/>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C81"/>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A0549"/>
    <w:rsid w:val="006A0758"/>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6B9"/>
    <w:rsid w:val="006A5985"/>
    <w:rsid w:val="006A5CBF"/>
    <w:rsid w:val="006A5E9D"/>
    <w:rsid w:val="006A5FB9"/>
    <w:rsid w:val="006A6230"/>
    <w:rsid w:val="006A6720"/>
    <w:rsid w:val="006A69C9"/>
    <w:rsid w:val="006A6C47"/>
    <w:rsid w:val="006A766F"/>
    <w:rsid w:val="006A7839"/>
    <w:rsid w:val="006A78C6"/>
    <w:rsid w:val="006A7BB7"/>
    <w:rsid w:val="006A7F4E"/>
    <w:rsid w:val="006A7F6A"/>
    <w:rsid w:val="006B0757"/>
    <w:rsid w:val="006B082C"/>
    <w:rsid w:val="006B0DEB"/>
    <w:rsid w:val="006B13AD"/>
    <w:rsid w:val="006B1735"/>
    <w:rsid w:val="006B18EE"/>
    <w:rsid w:val="006B1D49"/>
    <w:rsid w:val="006B21DA"/>
    <w:rsid w:val="006B2270"/>
    <w:rsid w:val="006B247D"/>
    <w:rsid w:val="006B2A15"/>
    <w:rsid w:val="006B2C8F"/>
    <w:rsid w:val="006B2EB3"/>
    <w:rsid w:val="006B3144"/>
    <w:rsid w:val="006B3848"/>
    <w:rsid w:val="006B3BCF"/>
    <w:rsid w:val="006B3E64"/>
    <w:rsid w:val="006B4059"/>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3A6"/>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BE4"/>
    <w:rsid w:val="006E1D49"/>
    <w:rsid w:val="006E2201"/>
    <w:rsid w:val="006E2958"/>
    <w:rsid w:val="006E2CA3"/>
    <w:rsid w:val="006E388E"/>
    <w:rsid w:val="006E3BC2"/>
    <w:rsid w:val="006E3D42"/>
    <w:rsid w:val="006E460F"/>
    <w:rsid w:val="006E4647"/>
    <w:rsid w:val="006E4BA6"/>
    <w:rsid w:val="006E4C71"/>
    <w:rsid w:val="006E4D45"/>
    <w:rsid w:val="006E4D4F"/>
    <w:rsid w:val="006E4DB8"/>
    <w:rsid w:val="006E504E"/>
    <w:rsid w:val="006E50B9"/>
    <w:rsid w:val="006E513D"/>
    <w:rsid w:val="006E514B"/>
    <w:rsid w:val="006E554C"/>
    <w:rsid w:val="006E5C12"/>
    <w:rsid w:val="006E5C81"/>
    <w:rsid w:val="006E5DC5"/>
    <w:rsid w:val="006E5E8E"/>
    <w:rsid w:val="006E5EF3"/>
    <w:rsid w:val="006E683A"/>
    <w:rsid w:val="006E699D"/>
    <w:rsid w:val="006E6EB3"/>
    <w:rsid w:val="006E7266"/>
    <w:rsid w:val="006E75D7"/>
    <w:rsid w:val="006F0789"/>
    <w:rsid w:val="006F1257"/>
    <w:rsid w:val="006F1486"/>
    <w:rsid w:val="006F1AC2"/>
    <w:rsid w:val="006F1FA4"/>
    <w:rsid w:val="006F24DF"/>
    <w:rsid w:val="006F2891"/>
    <w:rsid w:val="006F295D"/>
    <w:rsid w:val="006F2999"/>
    <w:rsid w:val="006F3348"/>
    <w:rsid w:val="006F3463"/>
    <w:rsid w:val="006F34F4"/>
    <w:rsid w:val="006F3DC3"/>
    <w:rsid w:val="006F3F1F"/>
    <w:rsid w:val="006F445C"/>
    <w:rsid w:val="006F4B31"/>
    <w:rsid w:val="006F52C3"/>
    <w:rsid w:val="006F548A"/>
    <w:rsid w:val="006F5919"/>
    <w:rsid w:val="006F5C93"/>
    <w:rsid w:val="006F61C2"/>
    <w:rsid w:val="006F61F7"/>
    <w:rsid w:val="006F62B1"/>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D98"/>
    <w:rsid w:val="00704FB0"/>
    <w:rsid w:val="0070547D"/>
    <w:rsid w:val="007055D8"/>
    <w:rsid w:val="00705C1D"/>
    <w:rsid w:val="00705DC4"/>
    <w:rsid w:val="00705E64"/>
    <w:rsid w:val="0070652F"/>
    <w:rsid w:val="00706631"/>
    <w:rsid w:val="0070669E"/>
    <w:rsid w:val="00706E58"/>
    <w:rsid w:val="00707565"/>
    <w:rsid w:val="00707602"/>
    <w:rsid w:val="007076B0"/>
    <w:rsid w:val="0070774D"/>
    <w:rsid w:val="00707F73"/>
    <w:rsid w:val="00710296"/>
    <w:rsid w:val="00710310"/>
    <w:rsid w:val="007107BB"/>
    <w:rsid w:val="00710955"/>
    <w:rsid w:val="00710BC9"/>
    <w:rsid w:val="00710DC3"/>
    <w:rsid w:val="00712495"/>
    <w:rsid w:val="0071285E"/>
    <w:rsid w:val="00712B22"/>
    <w:rsid w:val="00712B4B"/>
    <w:rsid w:val="00712CB7"/>
    <w:rsid w:val="00712ED9"/>
    <w:rsid w:val="00712F75"/>
    <w:rsid w:val="007130B5"/>
    <w:rsid w:val="007131EA"/>
    <w:rsid w:val="0071345E"/>
    <w:rsid w:val="00713473"/>
    <w:rsid w:val="00713BB0"/>
    <w:rsid w:val="00713C77"/>
    <w:rsid w:val="00713F8E"/>
    <w:rsid w:val="0071423D"/>
    <w:rsid w:val="00714561"/>
    <w:rsid w:val="007147E5"/>
    <w:rsid w:val="00714822"/>
    <w:rsid w:val="00714AF3"/>
    <w:rsid w:val="00715413"/>
    <w:rsid w:val="007158E2"/>
    <w:rsid w:val="00715F25"/>
    <w:rsid w:val="00716140"/>
    <w:rsid w:val="00716B28"/>
    <w:rsid w:val="007172D0"/>
    <w:rsid w:val="0071741D"/>
    <w:rsid w:val="00717A36"/>
    <w:rsid w:val="00717CE1"/>
    <w:rsid w:val="007204B5"/>
    <w:rsid w:val="00720B79"/>
    <w:rsid w:val="007214B7"/>
    <w:rsid w:val="007216C7"/>
    <w:rsid w:val="00721A54"/>
    <w:rsid w:val="00721DDB"/>
    <w:rsid w:val="00722054"/>
    <w:rsid w:val="007221C5"/>
    <w:rsid w:val="007225D3"/>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605D"/>
    <w:rsid w:val="0072620D"/>
    <w:rsid w:val="0072663B"/>
    <w:rsid w:val="007268AF"/>
    <w:rsid w:val="007277F5"/>
    <w:rsid w:val="007278A5"/>
    <w:rsid w:val="00727996"/>
    <w:rsid w:val="00727B35"/>
    <w:rsid w:val="00730030"/>
    <w:rsid w:val="00730B8A"/>
    <w:rsid w:val="0073116A"/>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B98"/>
    <w:rsid w:val="00736CA2"/>
    <w:rsid w:val="00736DD7"/>
    <w:rsid w:val="007376CF"/>
    <w:rsid w:val="00737861"/>
    <w:rsid w:val="00737895"/>
    <w:rsid w:val="00737B0B"/>
    <w:rsid w:val="00737D9F"/>
    <w:rsid w:val="00737E09"/>
    <w:rsid w:val="0074014C"/>
    <w:rsid w:val="0074048A"/>
    <w:rsid w:val="007407F6"/>
    <w:rsid w:val="0074087C"/>
    <w:rsid w:val="00740BEF"/>
    <w:rsid w:val="00740C9E"/>
    <w:rsid w:val="0074120A"/>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50E3"/>
    <w:rsid w:val="007452AE"/>
    <w:rsid w:val="00745691"/>
    <w:rsid w:val="007456EA"/>
    <w:rsid w:val="00745C5C"/>
    <w:rsid w:val="00745DF5"/>
    <w:rsid w:val="00745E42"/>
    <w:rsid w:val="007461EC"/>
    <w:rsid w:val="0074622F"/>
    <w:rsid w:val="00746408"/>
    <w:rsid w:val="00747628"/>
    <w:rsid w:val="00747AD9"/>
    <w:rsid w:val="00747C7F"/>
    <w:rsid w:val="0075015B"/>
    <w:rsid w:val="00750968"/>
    <w:rsid w:val="007509FB"/>
    <w:rsid w:val="00750BE5"/>
    <w:rsid w:val="00750C03"/>
    <w:rsid w:val="00750C58"/>
    <w:rsid w:val="00750E46"/>
    <w:rsid w:val="00750E72"/>
    <w:rsid w:val="007515B4"/>
    <w:rsid w:val="007517F7"/>
    <w:rsid w:val="00751A5B"/>
    <w:rsid w:val="007520BC"/>
    <w:rsid w:val="007521D3"/>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A7C"/>
    <w:rsid w:val="00761D5C"/>
    <w:rsid w:val="00762009"/>
    <w:rsid w:val="00762182"/>
    <w:rsid w:val="007625BB"/>
    <w:rsid w:val="00762758"/>
    <w:rsid w:val="00763024"/>
    <w:rsid w:val="007634B7"/>
    <w:rsid w:val="007634E1"/>
    <w:rsid w:val="0076357C"/>
    <w:rsid w:val="00764772"/>
    <w:rsid w:val="0076489B"/>
    <w:rsid w:val="00764D42"/>
    <w:rsid w:val="00764DC8"/>
    <w:rsid w:val="00765059"/>
    <w:rsid w:val="0076515A"/>
    <w:rsid w:val="0076535C"/>
    <w:rsid w:val="00765587"/>
    <w:rsid w:val="0076559D"/>
    <w:rsid w:val="0076565B"/>
    <w:rsid w:val="00765697"/>
    <w:rsid w:val="0076579A"/>
    <w:rsid w:val="00766336"/>
    <w:rsid w:val="00766716"/>
    <w:rsid w:val="007668DF"/>
    <w:rsid w:val="00766F58"/>
    <w:rsid w:val="0076796B"/>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923"/>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687"/>
    <w:rsid w:val="007819F9"/>
    <w:rsid w:val="00781DB7"/>
    <w:rsid w:val="00782516"/>
    <w:rsid w:val="00783591"/>
    <w:rsid w:val="00783794"/>
    <w:rsid w:val="00783A9B"/>
    <w:rsid w:val="00783B2F"/>
    <w:rsid w:val="00783E42"/>
    <w:rsid w:val="00784299"/>
    <w:rsid w:val="00784734"/>
    <w:rsid w:val="00784AD1"/>
    <w:rsid w:val="00785023"/>
    <w:rsid w:val="00785BA8"/>
    <w:rsid w:val="00785FC7"/>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0F7"/>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5CF"/>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1C4D"/>
    <w:rsid w:val="007A214E"/>
    <w:rsid w:val="007A2705"/>
    <w:rsid w:val="007A277F"/>
    <w:rsid w:val="007A287E"/>
    <w:rsid w:val="007A29DB"/>
    <w:rsid w:val="007A2EA5"/>
    <w:rsid w:val="007A2EC9"/>
    <w:rsid w:val="007A305B"/>
    <w:rsid w:val="007A3391"/>
    <w:rsid w:val="007A3581"/>
    <w:rsid w:val="007A36F7"/>
    <w:rsid w:val="007A3FC6"/>
    <w:rsid w:val="007A47AA"/>
    <w:rsid w:val="007A4A52"/>
    <w:rsid w:val="007A5321"/>
    <w:rsid w:val="007A5B4A"/>
    <w:rsid w:val="007A6002"/>
    <w:rsid w:val="007A617C"/>
    <w:rsid w:val="007A6261"/>
    <w:rsid w:val="007A69B2"/>
    <w:rsid w:val="007A6C6F"/>
    <w:rsid w:val="007A73C2"/>
    <w:rsid w:val="007A74AC"/>
    <w:rsid w:val="007A75C0"/>
    <w:rsid w:val="007A79E5"/>
    <w:rsid w:val="007A7A4A"/>
    <w:rsid w:val="007A7C80"/>
    <w:rsid w:val="007A7D89"/>
    <w:rsid w:val="007B023A"/>
    <w:rsid w:val="007B083A"/>
    <w:rsid w:val="007B08C3"/>
    <w:rsid w:val="007B0E4C"/>
    <w:rsid w:val="007B10DC"/>
    <w:rsid w:val="007B13BD"/>
    <w:rsid w:val="007B196C"/>
    <w:rsid w:val="007B1AB2"/>
    <w:rsid w:val="007B1C81"/>
    <w:rsid w:val="007B1F65"/>
    <w:rsid w:val="007B20E8"/>
    <w:rsid w:val="007B2521"/>
    <w:rsid w:val="007B2C6D"/>
    <w:rsid w:val="007B2E63"/>
    <w:rsid w:val="007B2F35"/>
    <w:rsid w:val="007B30D9"/>
    <w:rsid w:val="007B3D41"/>
    <w:rsid w:val="007B3EC6"/>
    <w:rsid w:val="007B3FFE"/>
    <w:rsid w:val="007B4C8D"/>
    <w:rsid w:val="007B4CCA"/>
    <w:rsid w:val="007B511E"/>
    <w:rsid w:val="007B512F"/>
    <w:rsid w:val="007B5C76"/>
    <w:rsid w:val="007B5DFA"/>
    <w:rsid w:val="007B5E35"/>
    <w:rsid w:val="007B5EE2"/>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7D9"/>
    <w:rsid w:val="007C2ED6"/>
    <w:rsid w:val="007C30C4"/>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87C"/>
    <w:rsid w:val="007C6A01"/>
    <w:rsid w:val="007C6A2F"/>
    <w:rsid w:val="007C6B35"/>
    <w:rsid w:val="007C6C39"/>
    <w:rsid w:val="007C6F86"/>
    <w:rsid w:val="007C6FE7"/>
    <w:rsid w:val="007C78B8"/>
    <w:rsid w:val="007C7ADF"/>
    <w:rsid w:val="007C7B6D"/>
    <w:rsid w:val="007C7CEC"/>
    <w:rsid w:val="007C7EB1"/>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84"/>
    <w:rsid w:val="007D49BA"/>
    <w:rsid w:val="007D4A3E"/>
    <w:rsid w:val="007D4FB8"/>
    <w:rsid w:val="007D50BA"/>
    <w:rsid w:val="007D542B"/>
    <w:rsid w:val="007D5A87"/>
    <w:rsid w:val="007D5ABC"/>
    <w:rsid w:val="007D5BD0"/>
    <w:rsid w:val="007D5BE1"/>
    <w:rsid w:val="007D5CCD"/>
    <w:rsid w:val="007D5CE3"/>
    <w:rsid w:val="007D5DB0"/>
    <w:rsid w:val="007D6585"/>
    <w:rsid w:val="007D67D8"/>
    <w:rsid w:val="007D6894"/>
    <w:rsid w:val="007D689A"/>
    <w:rsid w:val="007D7309"/>
    <w:rsid w:val="007D7453"/>
    <w:rsid w:val="007D79B6"/>
    <w:rsid w:val="007E0238"/>
    <w:rsid w:val="007E09DF"/>
    <w:rsid w:val="007E0B3C"/>
    <w:rsid w:val="007E0D90"/>
    <w:rsid w:val="007E0E6F"/>
    <w:rsid w:val="007E11C9"/>
    <w:rsid w:val="007E1273"/>
    <w:rsid w:val="007E17A4"/>
    <w:rsid w:val="007E1807"/>
    <w:rsid w:val="007E1AA6"/>
    <w:rsid w:val="007E1BF3"/>
    <w:rsid w:val="007E1FAD"/>
    <w:rsid w:val="007E20DE"/>
    <w:rsid w:val="007E21C0"/>
    <w:rsid w:val="007E235D"/>
    <w:rsid w:val="007E296F"/>
    <w:rsid w:val="007E2EC1"/>
    <w:rsid w:val="007E2ECC"/>
    <w:rsid w:val="007E3478"/>
    <w:rsid w:val="007E350B"/>
    <w:rsid w:val="007E3C23"/>
    <w:rsid w:val="007E4225"/>
    <w:rsid w:val="007E4882"/>
    <w:rsid w:val="007E4988"/>
    <w:rsid w:val="007E4E23"/>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7F7C3F"/>
    <w:rsid w:val="0080008A"/>
    <w:rsid w:val="008002AF"/>
    <w:rsid w:val="008002D8"/>
    <w:rsid w:val="00800439"/>
    <w:rsid w:val="0080069B"/>
    <w:rsid w:val="00800947"/>
    <w:rsid w:val="00800AB8"/>
    <w:rsid w:val="00800CA2"/>
    <w:rsid w:val="008012FC"/>
    <w:rsid w:val="00801665"/>
    <w:rsid w:val="00801826"/>
    <w:rsid w:val="00801B16"/>
    <w:rsid w:val="00801CCA"/>
    <w:rsid w:val="00802026"/>
    <w:rsid w:val="00802140"/>
    <w:rsid w:val="008026A3"/>
    <w:rsid w:val="0080273E"/>
    <w:rsid w:val="00802D98"/>
    <w:rsid w:val="0080303A"/>
    <w:rsid w:val="00803070"/>
    <w:rsid w:val="008035CE"/>
    <w:rsid w:val="008039EE"/>
    <w:rsid w:val="00803A34"/>
    <w:rsid w:val="00803EAB"/>
    <w:rsid w:val="0080407A"/>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79"/>
    <w:rsid w:val="00822CAB"/>
    <w:rsid w:val="008231A4"/>
    <w:rsid w:val="00823B69"/>
    <w:rsid w:val="00823E6F"/>
    <w:rsid w:val="0082460E"/>
    <w:rsid w:val="008247B0"/>
    <w:rsid w:val="008253DB"/>
    <w:rsid w:val="008254B4"/>
    <w:rsid w:val="00825631"/>
    <w:rsid w:val="008259CD"/>
    <w:rsid w:val="00825BF7"/>
    <w:rsid w:val="00825EFA"/>
    <w:rsid w:val="0082613D"/>
    <w:rsid w:val="008261C8"/>
    <w:rsid w:val="0082636A"/>
    <w:rsid w:val="008264A8"/>
    <w:rsid w:val="00826538"/>
    <w:rsid w:val="00826846"/>
    <w:rsid w:val="00827233"/>
    <w:rsid w:val="0082744D"/>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EF1"/>
    <w:rsid w:val="00840FE2"/>
    <w:rsid w:val="0084116F"/>
    <w:rsid w:val="0084141F"/>
    <w:rsid w:val="008415C2"/>
    <w:rsid w:val="008416A5"/>
    <w:rsid w:val="00841843"/>
    <w:rsid w:val="0084194A"/>
    <w:rsid w:val="008426B0"/>
    <w:rsid w:val="00843259"/>
    <w:rsid w:val="008437D4"/>
    <w:rsid w:val="00843824"/>
    <w:rsid w:val="008438D3"/>
    <w:rsid w:val="008439C7"/>
    <w:rsid w:val="00843F95"/>
    <w:rsid w:val="0084408B"/>
    <w:rsid w:val="008441C4"/>
    <w:rsid w:val="00844287"/>
    <w:rsid w:val="008443C0"/>
    <w:rsid w:val="00844639"/>
    <w:rsid w:val="00844A46"/>
    <w:rsid w:val="00844A52"/>
    <w:rsid w:val="00844E50"/>
    <w:rsid w:val="00845354"/>
    <w:rsid w:val="00845394"/>
    <w:rsid w:val="008454C2"/>
    <w:rsid w:val="008454FE"/>
    <w:rsid w:val="00845550"/>
    <w:rsid w:val="008456FF"/>
    <w:rsid w:val="00845C3C"/>
    <w:rsid w:val="00846960"/>
    <w:rsid w:val="00846DB4"/>
    <w:rsid w:val="00846E35"/>
    <w:rsid w:val="00847196"/>
    <w:rsid w:val="0084720C"/>
    <w:rsid w:val="0084762F"/>
    <w:rsid w:val="00847F43"/>
    <w:rsid w:val="008501A5"/>
    <w:rsid w:val="00850F53"/>
    <w:rsid w:val="00850FCE"/>
    <w:rsid w:val="00850FE6"/>
    <w:rsid w:val="0085150C"/>
    <w:rsid w:val="00852019"/>
    <w:rsid w:val="008520C5"/>
    <w:rsid w:val="008524A9"/>
    <w:rsid w:val="0085295F"/>
    <w:rsid w:val="0085334B"/>
    <w:rsid w:val="008535F0"/>
    <w:rsid w:val="00853A17"/>
    <w:rsid w:val="00853CF5"/>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26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689"/>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3C5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76"/>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4B84"/>
    <w:rsid w:val="00885B64"/>
    <w:rsid w:val="00885BBC"/>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7CD"/>
    <w:rsid w:val="008A6956"/>
    <w:rsid w:val="008A69A0"/>
    <w:rsid w:val="008A6E1D"/>
    <w:rsid w:val="008A6EEA"/>
    <w:rsid w:val="008A7062"/>
    <w:rsid w:val="008A7227"/>
    <w:rsid w:val="008A735D"/>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C31"/>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78C"/>
    <w:rsid w:val="008C6C65"/>
    <w:rsid w:val="008C6CD5"/>
    <w:rsid w:val="008C752A"/>
    <w:rsid w:val="008C781D"/>
    <w:rsid w:val="008D0621"/>
    <w:rsid w:val="008D064C"/>
    <w:rsid w:val="008D075B"/>
    <w:rsid w:val="008D0A22"/>
    <w:rsid w:val="008D0ACC"/>
    <w:rsid w:val="008D1BC9"/>
    <w:rsid w:val="008D1FC9"/>
    <w:rsid w:val="008D2883"/>
    <w:rsid w:val="008D2B6D"/>
    <w:rsid w:val="008D341E"/>
    <w:rsid w:val="008D3D6D"/>
    <w:rsid w:val="008D43B0"/>
    <w:rsid w:val="008D4922"/>
    <w:rsid w:val="008D4B3C"/>
    <w:rsid w:val="008D4E00"/>
    <w:rsid w:val="008D4F2B"/>
    <w:rsid w:val="008D5959"/>
    <w:rsid w:val="008D596E"/>
    <w:rsid w:val="008D65A7"/>
    <w:rsid w:val="008D6614"/>
    <w:rsid w:val="008D6916"/>
    <w:rsid w:val="008D6CF5"/>
    <w:rsid w:val="008D70CC"/>
    <w:rsid w:val="008D7129"/>
    <w:rsid w:val="008D750F"/>
    <w:rsid w:val="008D78B7"/>
    <w:rsid w:val="008D7C2F"/>
    <w:rsid w:val="008E0161"/>
    <w:rsid w:val="008E0774"/>
    <w:rsid w:val="008E0AD1"/>
    <w:rsid w:val="008E0E76"/>
    <w:rsid w:val="008E1440"/>
    <w:rsid w:val="008E1941"/>
    <w:rsid w:val="008E1B1A"/>
    <w:rsid w:val="008E26AE"/>
    <w:rsid w:val="008E27E4"/>
    <w:rsid w:val="008E2E53"/>
    <w:rsid w:val="008E311C"/>
    <w:rsid w:val="008E31E3"/>
    <w:rsid w:val="008E3778"/>
    <w:rsid w:val="008E38F8"/>
    <w:rsid w:val="008E3ABA"/>
    <w:rsid w:val="008E3C3B"/>
    <w:rsid w:val="008E3C4F"/>
    <w:rsid w:val="008E3C7A"/>
    <w:rsid w:val="008E3DAE"/>
    <w:rsid w:val="008E4034"/>
    <w:rsid w:val="008E452E"/>
    <w:rsid w:val="008E473E"/>
    <w:rsid w:val="008E48C3"/>
    <w:rsid w:val="008E4B3C"/>
    <w:rsid w:val="008E4CCB"/>
    <w:rsid w:val="008E543B"/>
    <w:rsid w:val="008E5766"/>
    <w:rsid w:val="008E5D3F"/>
    <w:rsid w:val="008E5E80"/>
    <w:rsid w:val="008E60EB"/>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648"/>
    <w:rsid w:val="008F2D49"/>
    <w:rsid w:val="008F3116"/>
    <w:rsid w:val="008F320D"/>
    <w:rsid w:val="008F3855"/>
    <w:rsid w:val="008F39FB"/>
    <w:rsid w:val="008F4A2C"/>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141A"/>
    <w:rsid w:val="00901D13"/>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DB0"/>
    <w:rsid w:val="00904E6F"/>
    <w:rsid w:val="009052C0"/>
    <w:rsid w:val="0090546D"/>
    <w:rsid w:val="00905B36"/>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EC3"/>
    <w:rsid w:val="0091160D"/>
    <w:rsid w:val="00911B25"/>
    <w:rsid w:val="00911FF2"/>
    <w:rsid w:val="00912217"/>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F22"/>
    <w:rsid w:val="00920141"/>
    <w:rsid w:val="009201A7"/>
    <w:rsid w:val="009204A6"/>
    <w:rsid w:val="0092054A"/>
    <w:rsid w:val="0092089D"/>
    <w:rsid w:val="009209AC"/>
    <w:rsid w:val="00920B1C"/>
    <w:rsid w:val="00920E72"/>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F52"/>
    <w:rsid w:val="00923FC8"/>
    <w:rsid w:val="00924806"/>
    <w:rsid w:val="0092508C"/>
    <w:rsid w:val="00925238"/>
    <w:rsid w:val="00925394"/>
    <w:rsid w:val="009256D8"/>
    <w:rsid w:val="00925778"/>
    <w:rsid w:val="009258DA"/>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9BD"/>
    <w:rsid w:val="00930E1A"/>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7C"/>
    <w:rsid w:val="00936D97"/>
    <w:rsid w:val="009378D0"/>
    <w:rsid w:val="00937A52"/>
    <w:rsid w:val="009403E3"/>
    <w:rsid w:val="009404C3"/>
    <w:rsid w:val="00940793"/>
    <w:rsid w:val="00940C3B"/>
    <w:rsid w:val="00940E87"/>
    <w:rsid w:val="00940F2E"/>
    <w:rsid w:val="0094123D"/>
    <w:rsid w:val="009413E8"/>
    <w:rsid w:val="0094186C"/>
    <w:rsid w:val="00941C5B"/>
    <w:rsid w:val="009422F6"/>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6AF"/>
    <w:rsid w:val="00950870"/>
    <w:rsid w:val="009509C1"/>
    <w:rsid w:val="009518C4"/>
    <w:rsid w:val="0095244E"/>
    <w:rsid w:val="009524AA"/>
    <w:rsid w:val="00953142"/>
    <w:rsid w:val="0095324C"/>
    <w:rsid w:val="009536EF"/>
    <w:rsid w:val="009538B7"/>
    <w:rsid w:val="00954187"/>
    <w:rsid w:val="009544C1"/>
    <w:rsid w:val="00954804"/>
    <w:rsid w:val="009555E7"/>
    <w:rsid w:val="0095562B"/>
    <w:rsid w:val="00955674"/>
    <w:rsid w:val="00955715"/>
    <w:rsid w:val="00955AA1"/>
    <w:rsid w:val="00955CA3"/>
    <w:rsid w:val="00955DE5"/>
    <w:rsid w:val="0095611E"/>
    <w:rsid w:val="0095647D"/>
    <w:rsid w:val="0095686E"/>
    <w:rsid w:val="00956AE6"/>
    <w:rsid w:val="00956CEF"/>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C6A"/>
    <w:rsid w:val="00965E38"/>
    <w:rsid w:val="009660E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92E"/>
    <w:rsid w:val="00971D52"/>
    <w:rsid w:val="00971F4B"/>
    <w:rsid w:val="00972180"/>
    <w:rsid w:val="009722C0"/>
    <w:rsid w:val="0097294C"/>
    <w:rsid w:val="009729D8"/>
    <w:rsid w:val="00972F09"/>
    <w:rsid w:val="0097317E"/>
    <w:rsid w:val="009731E2"/>
    <w:rsid w:val="009731EB"/>
    <w:rsid w:val="0097388D"/>
    <w:rsid w:val="00973970"/>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6A11"/>
    <w:rsid w:val="0097707D"/>
    <w:rsid w:val="00977176"/>
    <w:rsid w:val="00977435"/>
    <w:rsid w:val="0097747C"/>
    <w:rsid w:val="00977A95"/>
    <w:rsid w:val="00977AC4"/>
    <w:rsid w:val="0098064B"/>
    <w:rsid w:val="009806F4"/>
    <w:rsid w:val="00980779"/>
    <w:rsid w:val="009807B0"/>
    <w:rsid w:val="00980C49"/>
    <w:rsid w:val="009813F4"/>
    <w:rsid w:val="009816B9"/>
    <w:rsid w:val="00981886"/>
    <w:rsid w:val="00981A3F"/>
    <w:rsid w:val="00981B60"/>
    <w:rsid w:val="0098210E"/>
    <w:rsid w:val="009821C3"/>
    <w:rsid w:val="00982B5D"/>
    <w:rsid w:val="00982D03"/>
    <w:rsid w:val="00982DE5"/>
    <w:rsid w:val="00982E2E"/>
    <w:rsid w:val="00982E5E"/>
    <w:rsid w:val="009836E2"/>
    <w:rsid w:val="00983B65"/>
    <w:rsid w:val="00984045"/>
    <w:rsid w:val="009840F0"/>
    <w:rsid w:val="0098446D"/>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11B"/>
    <w:rsid w:val="009914BB"/>
    <w:rsid w:val="00991788"/>
    <w:rsid w:val="00991D9D"/>
    <w:rsid w:val="00991FDB"/>
    <w:rsid w:val="0099214A"/>
    <w:rsid w:val="00992BF3"/>
    <w:rsid w:val="00992C26"/>
    <w:rsid w:val="00992E5F"/>
    <w:rsid w:val="00993282"/>
    <w:rsid w:val="009932EB"/>
    <w:rsid w:val="00993CAE"/>
    <w:rsid w:val="00993EA7"/>
    <w:rsid w:val="009941D7"/>
    <w:rsid w:val="009942E3"/>
    <w:rsid w:val="00994498"/>
    <w:rsid w:val="0099494A"/>
    <w:rsid w:val="00994C12"/>
    <w:rsid w:val="00994D8E"/>
    <w:rsid w:val="00994DB5"/>
    <w:rsid w:val="00994E56"/>
    <w:rsid w:val="00995775"/>
    <w:rsid w:val="00995869"/>
    <w:rsid w:val="00995C43"/>
    <w:rsid w:val="00995D6A"/>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29"/>
    <w:rsid w:val="009A6846"/>
    <w:rsid w:val="009A6AD7"/>
    <w:rsid w:val="009A6EAA"/>
    <w:rsid w:val="009A6EB3"/>
    <w:rsid w:val="009A72E7"/>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480"/>
    <w:rsid w:val="009B3555"/>
    <w:rsid w:val="009B3749"/>
    <w:rsid w:val="009B3BCB"/>
    <w:rsid w:val="009B3C0A"/>
    <w:rsid w:val="009B455A"/>
    <w:rsid w:val="009B460E"/>
    <w:rsid w:val="009B4C4B"/>
    <w:rsid w:val="009B5011"/>
    <w:rsid w:val="009B5273"/>
    <w:rsid w:val="009B5301"/>
    <w:rsid w:val="009B55EB"/>
    <w:rsid w:val="009B5E10"/>
    <w:rsid w:val="009B5E5B"/>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5F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6D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D87"/>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D82"/>
    <w:rsid w:val="009E1FFF"/>
    <w:rsid w:val="009E2888"/>
    <w:rsid w:val="009E2A59"/>
    <w:rsid w:val="009E2F44"/>
    <w:rsid w:val="009E32AD"/>
    <w:rsid w:val="009E3C69"/>
    <w:rsid w:val="009E3E1F"/>
    <w:rsid w:val="009E4240"/>
    <w:rsid w:val="009E49B3"/>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0F7"/>
    <w:rsid w:val="009F512F"/>
    <w:rsid w:val="009F58E2"/>
    <w:rsid w:val="009F59D9"/>
    <w:rsid w:val="009F5BF9"/>
    <w:rsid w:val="009F5D4F"/>
    <w:rsid w:val="009F5DD3"/>
    <w:rsid w:val="009F6352"/>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1EC0"/>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803"/>
    <w:rsid w:val="00A158AA"/>
    <w:rsid w:val="00A15E69"/>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A36"/>
    <w:rsid w:val="00A20ECB"/>
    <w:rsid w:val="00A2133E"/>
    <w:rsid w:val="00A21491"/>
    <w:rsid w:val="00A215A5"/>
    <w:rsid w:val="00A21CA3"/>
    <w:rsid w:val="00A220B4"/>
    <w:rsid w:val="00A223D7"/>
    <w:rsid w:val="00A2241F"/>
    <w:rsid w:val="00A22442"/>
    <w:rsid w:val="00A2249E"/>
    <w:rsid w:val="00A2251D"/>
    <w:rsid w:val="00A22CA0"/>
    <w:rsid w:val="00A23601"/>
    <w:rsid w:val="00A236BA"/>
    <w:rsid w:val="00A239FB"/>
    <w:rsid w:val="00A23F6B"/>
    <w:rsid w:val="00A240D4"/>
    <w:rsid w:val="00A24C3A"/>
    <w:rsid w:val="00A24F4A"/>
    <w:rsid w:val="00A253E1"/>
    <w:rsid w:val="00A253F0"/>
    <w:rsid w:val="00A254A8"/>
    <w:rsid w:val="00A258CE"/>
    <w:rsid w:val="00A25933"/>
    <w:rsid w:val="00A25EE3"/>
    <w:rsid w:val="00A261BE"/>
    <w:rsid w:val="00A2635C"/>
    <w:rsid w:val="00A26634"/>
    <w:rsid w:val="00A2669F"/>
    <w:rsid w:val="00A26BBB"/>
    <w:rsid w:val="00A2718C"/>
    <w:rsid w:val="00A273DD"/>
    <w:rsid w:val="00A2747F"/>
    <w:rsid w:val="00A27965"/>
    <w:rsid w:val="00A27A99"/>
    <w:rsid w:val="00A27CA1"/>
    <w:rsid w:val="00A27D06"/>
    <w:rsid w:val="00A27D7D"/>
    <w:rsid w:val="00A31567"/>
    <w:rsid w:val="00A31891"/>
    <w:rsid w:val="00A320D9"/>
    <w:rsid w:val="00A32A9D"/>
    <w:rsid w:val="00A32B0A"/>
    <w:rsid w:val="00A32D29"/>
    <w:rsid w:val="00A331D0"/>
    <w:rsid w:val="00A332F9"/>
    <w:rsid w:val="00A33AF8"/>
    <w:rsid w:val="00A33E6D"/>
    <w:rsid w:val="00A33FE1"/>
    <w:rsid w:val="00A344AD"/>
    <w:rsid w:val="00A34873"/>
    <w:rsid w:val="00A354CF"/>
    <w:rsid w:val="00A35647"/>
    <w:rsid w:val="00A35B02"/>
    <w:rsid w:val="00A362A1"/>
    <w:rsid w:val="00A362DE"/>
    <w:rsid w:val="00A3641F"/>
    <w:rsid w:val="00A36652"/>
    <w:rsid w:val="00A36A7D"/>
    <w:rsid w:val="00A370C3"/>
    <w:rsid w:val="00A37423"/>
    <w:rsid w:val="00A379C5"/>
    <w:rsid w:val="00A37AAA"/>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09F"/>
    <w:rsid w:val="00A434E2"/>
    <w:rsid w:val="00A4353A"/>
    <w:rsid w:val="00A438D8"/>
    <w:rsid w:val="00A439FD"/>
    <w:rsid w:val="00A43D7F"/>
    <w:rsid w:val="00A4402D"/>
    <w:rsid w:val="00A44512"/>
    <w:rsid w:val="00A44610"/>
    <w:rsid w:val="00A448CA"/>
    <w:rsid w:val="00A44EEC"/>
    <w:rsid w:val="00A44F61"/>
    <w:rsid w:val="00A456FC"/>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CA1"/>
    <w:rsid w:val="00A50FA1"/>
    <w:rsid w:val="00A51031"/>
    <w:rsid w:val="00A51072"/>
    <w:rsid w:val="00A52347"/>
    <w:rsid w:val="00A52727"/>
    <w:rsid w:val="00A52A85"/>
    <w:rsid w:val="00A52F8E"/>
    <w:rsid w:val="00A535EE"/>
    <w:rsid w:val="00A53724"/>
    <w:rsid w:val="00A53B4B"/>
    <w:rsid w:val="00A53BE2"/>
    <w:rsid w:val="00A543AD"/>
    <w:rsid w:val="00A5465A"/>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AA6"/>
    <w:rsid w:val="00A70C55"/>
    <w:rsid w:val="00A71B3F"/>
    <w:rsid w:val="00A71DFD"/>
    <w:rsid w:val="00A71F76"/>
    <w:rsid w:val="00A7214E"/>
    <w:rsid w:val="00A727FC"/>
    <w:rsid w:val="00A72816"/>
    <w:rsid w:val="00A72A51"/>
    <w:rsid w:val="00A73063"/>
    <w:rsid w:val="00A73136"/>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2FC"/>
    <w:rsid w:val="00A81386"/>
    <w:rsid w:val="00A816F0"/>
    <w:rsid w:val="00A8184D"/>
    <w:rsid w:val="00A819CC"/>
    <w:rsid w:val="00A81DC6"/>
    <w:rsid w:val="00A81DF9"/>
    <w:rsid w:val="00A81E89"/>
    <w:rsid w:val="00A82048"/>
    <w:rsid w:val="00A825E7"/>
    <w:rsid w:val="00A82604"/>
    <w:rsid w:val="00A83779"/>
    <w:rsid w:val="00A8380D"/>
    <w:rsid w:val="00A83A40"/>
    <w:rsid w:val="00A83C53"/>
    <w:rsid w:val="00A84073"/>
    <w:rsid w:val="00A841AE"/>
    <w:rsid w:val="00A84C9B"/>
    <w:rsid w:val="00A853D9"/>
    <w:rsid w:val="00A853DC"/>
    <w:rsid w:val="00A85CCD"/>
    <w:rsid w:val="00A862CF"/>
    <w:rsid w:val="00A86692"/>
    <w:rsid w:val="00A86A4C"/>
    <w:rsid w:val="00A86C48"/>
    <w:rsid w:val="00A86E37"/>
    <w:rsid w:val="00A86E5C"/>
    <w:rsid w:val="00A871A0"/>
    <w:rsid w:val="00A872B0"/>
    <w:rsid w:val="00A87697"/>
    <w:rsid w:val="00A87A8E"/>
    <w:rsid w:val="00A87BEA"/>
    <w:rsid w:val="00A87E2C"/>
    <w:rsid w:val="00A87E59"/>
    <w:rsid w:val="00A9032B"/>
    <w:rsid w:val="00A905E5"/>
    <w:rsid w:val="00A90B87"/>
    <w:rsid w:val="00A90D4D"/>
    <w:rsid w:val="00A90F06"/>
    <w:rsid w:val="00A90F8B"/>
    <w:rsid w:val="00A918F8"/>
    <w:rsid w:val="00A91DF0"/>
    <w:rsid w:val="00A91EE3"/>
    <w:rsid w:val="00A91F42"/>
    <w:rsid w:val="00A9244B"/>
    <w:rsid w:val="00A92B5C"/>
    <w:rsid w:val="00A92BBE"/>
    <w:rsid w:val="00A92E2D"/>
    <w:rsid w:val="00A9325B"/>
    <w:rsid w:val="00A936E0"/>
    <w:rsid w:val="00A9393D"/>
    <w:rsid w:val="00A93C59"/>
    <w:rsid w:val="00A93EFE"/>
    <w:rsid w:val="00A94626"/>
    <w:rsid w:val="00A94C17"/>
    <w:rsid w:val="00A95282"/>
    <w:rsid w:val="00A953B0"/>
    <w:rsid w:val="00A95517"/>
    <w:rsid w:val="00A95BEF"/>
    <w:rsid w:val="00A96049"/>
    <w:rsid w:val="00A960C8"/>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1CFA"/>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D8C"/>
    <w:rsid w:val="00AA5FCA"/>
    <w:rsid w:val="00AA601C"/>
    <w:rsid w:val="00AA634D"/>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B29"/>
    <w:rsid w:val="00AB2C99"/>
    <w:rsid w:val="00AB3124"/>
    <w:rsid w:val="00AB352C"/>
    <w:rsid w:val="00AB3918"/>
    <w:rsid w:val="00AB3CBC"/>
    <w:rsid w:val="00AB3D03"/>
    <w:rsid w:val="00AB40DC"/>
    <w:rsid w:val="00AB47DE"/>
    <w:rsid w:val="00AB47F1"/>
    <w:rsid w:val="00AB4AE1"/>
    <w:rsid w:val="00AB4B20"/>
    <w:rsid w:val="00AB4B62"/>
    <w:rsid w:val="00AB4DFB"/>
    <w:rsid w:val="00AB4FFE"/>
    <w:rsid w:val="00AB516E"/>
    <w:rsid w:val="00AB54BA"/>
    <w:rsid w:val="00AB55C1"/>
    <w:rsid w:val="00AB55E3"/>
    <w:rsid w:val="00AB5CB1"/>
    <w:rsid w:val="00AB6224"/>
    <w:rsid w:val="00AB622C"/>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C17"/>
    <w:rsid w:val="00AC0E5B"/>
    <w:rsid w:val="00AC11C8"/>
    <w:rsid w:val="00AC16D9"/>
    <w:rsid w:val="00AC171E"/>
    <w:rsid w:val="00AC1AA7"/>
    <w:rsid w:val="00AC1C45"/>
    <w:rsid w:val="00AC1F31"/>
    <w:rsid w:val="00AC1FF9"/>
    <w:rsid w:val="00AC2484"/>
    <w:rsid w:val="00AC2590"/>
    <w:rsid w:val="00AC2A8F"/>
    <w:rsid w:val="00AC2F04"/>
    <w:rsid w:val="00AC308B"/>
    <w:rsid w:val="00AC314A"/>
    <w:rsid w:val="00AC3352"/>
    <w:rsid w:val="00AC359F"/>
    <w:rsid w:val="00AC42B5"/>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2A1"/>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90F"/>
    <w:rsid w:val="00AD79AD"/>
    <w:rsid w:val="00AD7B62"/>
    <w:rsid w:val="00AD7CEF"/>
    <w:rsid w:val="00AE0003"/>
    <w:rsid w:val="00AE03A5"/>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161A"/>
    <w:rsid w:val="00AF1953"/>
    <w:rsid w:val="00AF3894"/>
    <w:rsid w:val="00AF3DC1"/>
    <w:rsid w:val="00AF3F6A"/>
    <w:rsid w:val="00AF44F6"/>
    <w:rsid w:val="00AF47AA"/>
    <w:rsid w:val="00AF4C9E"/>
    <w:rsid w:val="00AF4E28"/>
    <w:rsid w:val="00AF518C"/>
    <w:rsid w:val="00AF569C"/>
    <w:rsid w:val="00AF5B1C"/>
    <w:rsid w:val="00AF6C51"/>
    <w:rsid w:val="00AF76DF"/>
    <w:rsid w:val="00AF7D00"/>
    <w:rsid w:val="00B0053C"/>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03"/>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0BB"/>
    <w:rsid w:val="00B111C9"/>
    <w:rsid w:val="00B11390"/>
    <w:rsid w:val="00B11C10"/>
    <w:rsid w:val="00B11CEE"/>
    <w:rsid w:val="00B11E90"/>
    <w:rsid w:val="00B11EFE"/>
    <w:rsid w:val="00B11FE5"/>
    <w:rsid w:val="00B12019"/>
    <w:rsid w:val="00B123B7"/>
    <w:rsid w:val="00B12561"/>
    <w:rsid w:val="00B125E3"/>
    <w:rsid w:val="00B12BB9"/>
    <w:rsid w:val="00B12FC6"/>
    <w:rsid w:val="00B13286"/>
    <w:rsid w:val="00B1360E"/>
    <w:rsid w:val="00B139AD"/>
    <w:rsid w:val="00B13C64"/>
    <w:rsid w:val="00B13E06"/>
    <w:rsid w:val="00B14389"/>
    <w:rsid w:val="00B14518"/>
    <w:rsid w:val="00B1481B"/>
    <w:rsid w:val="00B14E2F"/>
    <w:rsid w:val="00B15425"/>
    <w:rsid w:val="00B15BA3"/>
    <w:rsid w:val="00B16031"/>
    <w:rsid w:val="00B160A2"/>
    <w:rsid w:val="00B16748"/>
    <w:rsid w:val="00B16802"/>
    <w:rsid w:val="00B16810"/>
    <w:rsid w:val="00B16D95"/>
    <w:rsid w:val="00B16E18"/>
    <w:rsid w:val="00B171A4"/>
    <w:rsid w:val="00B1736B"/>
    <w:rsid w:val="00B174AE"/>
    <w:rsid w:val="00B203DE"/>
    <w:rsid w:val="00B21642"/>
    <w:rsid w:val="00B21B58"/>
    <w:rsid w:val="00B21D25"/>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A4"/>
    <w:rsid w:val="00B30DDC"/>
    <w:rsid w:val="00B31616"/>
    <w:rsid w:val="00B321CE"/>
    <w:rsid w:val="00B3236D"/>
    <w:rsid w:val="00B329BE"/>
    <w:rsid w:val="00B32A95"/>
    <w:rsid w:val="00B32C88"/>
    <w:rsid w:val="00B3319E"/>
    <w:rsid w:val="00B33316"/>
    <w:rsid w:val="00B33566"/>
    <w:rsid w:val="00B33678"/>
    <w:rsid w:val="00B33F4E"/>
    <w:rsid w:val="00B35107"/>
    <w:rsid w:val="00B35123"/>
    <w:rsid w:val="00B352B5"/>
    <w:rsid w:val="00B35635"/>
    <w:rsid w:val="00B35655"/>
    <w:rsid w:val="00B35732"/>
    <w:rsid w:val="00B35AE6"/>
    <w:rsid w:val="00B35B56"/>
    <w:rsid w:val="00B35D43"/>
    <w:rsid w:val="00B36126"/>
    <w:rsid w:val="00B3677D"/>
    <w:rsid w:val="00B36A0A"/>
    <w:rsid w:val="00B36BA0"/>
    <w:rsid w:val="00B3722D"/>
    <w:rsid w:val="00B372A3"/>
    <w:rsid w:val="00B3742D"/>
    <w:rsid w:val="00B376F5"/>
    <w:rsid w:val="00B37807"/>
    <w:rsid w:val="00B37EC6"/>
    <w:rsid w:val="00B37F20"/>
    <w:rsid w:val="00B4022F"/>
    <w:rsid w:val="00B40369"/>
    <w:rsid w:val="00B40452"/>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FB"/>
    <w:rsid w:val="00B532A3"/>
    <w:rsid w:val="00B53ED5"/>
    <w:rsid w:val="00B54010"/>
    <w:rsid w:val="00B542CD"/>
    <w:rsid w:val="00B54931"/>
    <w:rsid w:val="00B54CF6"/>
    <w:rsid w:val="00B54E4A"/>
    <w:rsid w:val="00B550E6"/>
    <w:rsid w:val="00B550F0"/>
    <w:rsid w:val="00B55DB0"/>
    <w:rsid w:val="00B56080"/>
    <w:rsid w:val="00B56167"/>
    <w:rsid w:val="00B56861"/>
    <w:rsid w:val="00B56943"/>
    <w:rsid w:val="00B56A8A"/>
    <w:rsid w:val="00B56ADA"/>
    <w:rsid w:val="00B56E32"/>
    <w:rsid w:val="00B56F42"/>
    <w:rsid w:val="00B57911"/>
    <w:rsid w:val="00B57C54"/>
    <w:rsid w:val="00B60B85"/>
    <w:rsid w:val="00B61338"/>
    <w:rsid w:val="00B615D0"/>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876"/>
    <w:rsid w:val="00B63BD1"/>
    <w:rsid w:val="00B63C41"/>
    <w:rsid w:val="00B63E76"/>
    <w:rsid w:val="00B63E84"/>
    <w:rsid w:val="00B642C2"/>
    <w:rsid w:val="00B64327"/>
    <w:rsid w:val="00B64B06"/>
    <w:rsid w:val="00B64C0D"/>
    <w:rsid w:val="00B65172"/>
    <w:rsid w:val="00B652BA"/>
    <w:rsid w:val="00B65505"/>
    <w:rsid w:val="00B65A7D"/>
    <w:rsid w:val="00B65AF6"/>
    <w:rsid w:val="00B662D7"/>
    <w:rsid w:val="00B665CA"/>
    <w:rsid w:val="00B66CEC"/>
    <w:rsid w:val="00B66D90"/>
    <w:rsid w:val="00B67007"/>
    <w:rsid w:val="00B6784C"/>
    <w:rsid w:val="00B67A3A"/>
    <w:rsid w:val="00B67A7D"/>
    <w:rsid w:val="00B67AB7"/>
    <w:rsid w:val="00B67B0E"/>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C39"/>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1F10"/>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62E"/>
    <w:rsid w:val="00B84A6A"/>
    <w:rsid w:val="00B85630"/>
    <w:rsid w:val="00B858D4"/>
    <w:rsid w:val="00B85DAE"/>
    <w:rsid w:val="00B860B9"/>
    <w:rsid w:val="00B862A6"/>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A44"/>
    <w:rsid w:val="00B91C77"/>
    <w:rsid w:val="00B92188"/>
    <w:rsid w:val="00B9231C"/>
    <w:rsid w:val="00B92514"/>
    <w:rsid w:val="00B92531"/>
    <w:rsid w:val="00B92C2C"/>
    <w:rsid w:val="00B92C51"/>
    <w:rsid w:val="00B92CBE"/>
    <w:rsid w:val="00B92F7A"/>
    <w:rsid w:val="00B93D1C"/>
    <w:rsid w:val="00B9408F"/>
    <w:rsid w:val="00B9409D"/>
    <w:rsid w:val="00B940F4"/>
    <w:rsid w:val="00B94107"/>
    <w:rsid w:val="00B943B3"/>
    <w:rsid w:val="00B94CB2"/>
    <w:rsid w:val="00B94DD1"/>
    <w:rsid w:val="00B94ECF"/>
    <w:rsid w:val="00B94EFB"/>
    <w:rsid w:val="00B95451"/>
    <w:rsid w:val="00B955BF"/>
    <w:rsid w:val="00B959D1"/>
    <w:rsid w:val="00B95D99"/>
    <w:rsid w:val="00B962E2"/>
    <w:rsid w:val="00B9635E"/>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E1"/>
    <w:rsid w:val="00BA650B"/>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1D2C"/>
    <w:rsid w:val="00BB237F"/>
    <w:rsid w:val="00BB2895"/>
    <w:rsid w:val="00BB29B4"/>
    <w:rsid w:val="00BB2A57"/>
    <w:rsid w:val="00BB2B12"/>
    <w:rsid w:val="00BB2B38"/>
    <w:rsid w:val="00BB2B71"/>
    <w:rsid w:val="00BB2CAD"/>
    <w:rsid w:val="00BB2F4F"/>
    <w:rsid w:val="00BB397D"/>
    <w:rsid w:val="00BB3C22"/>
    <w:rsid w:val="00BB3C50"/>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1FE"/>
    <w:rsid w:val="00BC02ED"/>
    <w:rsid w:val="00BC05D3"/>
    <w:rsid w:val="00BC07AD"/>
    <w:rsid w:val="00BC07E1"/>
    <w:rsid w:val="00BC0B50"/>
    <w:rsid w:val="00BC13EE"/>
    <w:rsid w:val="00BC1914"/>
    <w:rsid w:val="00BC2353"/>
    <w:rsid w:val="00BC24C8"/>
    <w:rsid w:val="00BC25FA"/>
    <w:rsid w:val="00BC2907"/>
    <w:rsid w:val="00BC2F03"/>
    <w:rsid w:val="00BC34FF"/>
    <w:rsid w:val="00BC3878"/>
    <w:rsid w:val="00BC3CEC"/>
    <w:rsid w:val="00BC4321"/>
    <w:rsid w:val="00BC4391"/>
    <w:rsid w:val="00BC4640"/>
    <w:rsid w:val="00BC47E6"/>
    <w:rsid w:val="00BC47ED"/>
    <w:rsid w:val="00BC5333"/>
    <w:rsid w:val="00BC535E"/>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3F1D"/>
    <w:rsid w:val="00BD40D2"/>
    <w:rsid w:val="00BD43CC"/>
    <w:rsid w:val="00BD43F0"/>
    <w:rsid w:val="00BD49C7"/>
    <w:rsid w:val="00BD50C9"/>
    <w:rsid w:val="00BD514A"/>
    <w:rsid w:val="00BD5350"/>
    <w:rsid w:val="00BD5369"/>
    <w:rsid w:val="00BD5377"/>
    <w:rsid w:val="00BD5B0F"/>
    <w:rsid w:val="00BD5E44"/>
    <w:rsid w:val="00BD6078"/>
    <w:rsid w:val="00BD69EF"/>
    <w:rsid w:val="00BD70E3"/>
    <w:rsid w:val="00BD73CF"/>
    <w:rsid w:val="00BD754C"/>
    <w:rsid w:val="00BD77EF"/>
    <w:rsid w:val="00BD77F6"/>
    <w:rsid w:val="00BD7B4E"/>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214"/>
    <w:rsid w:val="00BE2817"/>
    <w:rsid w:val="00BE2C78"/>
    <w:rsid w:val="00BE2E5E"/>
    <w:rsid w:val="00BE342B"/>
    <w:rsid w:val="00BE353E"/>
    <w:rsid w:val="00BE39E0"/>
    <w:rsid w:val="00BE3E61"/>
    <w:rsid w:val="00BE427D"/>
    <w:rsid w:val="00BE43A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4A73"/>
    <w:rsid w:val="00BF4AF1"/>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46D"/>
    <w:rsid w:val="00C03552"/>
    <w:rsid w:val="00C036BC"/>
    <w:rsid w:val="00C0382C"/>
    <w:rsid w:val="00C03896"/>
    <w:rsid w:val="00C03B09"/>
    <w:rsid w:val="00C042BB"/>
    <w:rsid w:val="00C042FD"/>
    <w:rsid w:val="00C042FE"/>
    <w:rsid w:val="00C04B3C"/>
    <w:rsid w:val="00C04B9A"/>
    <w:rsid w:val="00C04F10"/>
    <w:rsid w:val="00C04F23"/>
    <w:rsid w:val="00C051C4"/>
    <w:rsid w:val="00C051E4"/>
    <w:rsid w:val="00C055C6"/>
    <w:rsid w:val="00C05CA6"/>
    <w:rsid w:val="00C05D30"/>
    <w:rsid w:val="00C05E06"/>
    <w:rsid w:val="00C063A4"/>
    <w:rsid w:val="00C06692"/>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C9"/>
    <w:rsid w:val="00C133F9"/>
    <w:rsid w:val="00C1349A"/>
    <w:rsid w:val="00C13A48"/>
    <w:rsid w:val="00C13B81"/>
    <w:rsid w:val="00C13C6E"/>
    <w:rsid w:val="00C13DA4"/>
    <w:rsid w:val="00C13FA0"/>
    <w:rsid w:val="00C143C9"/>
    <w:rsid w:val="00C145FC"/>
    <w:rsid w:val="00C14613"/>
    <w:rsid w:val="00C14722"/>
    <w:rsid w:val="00C14B26"/>
    <w:rsid w:val="00C14CB9"/>
    <w:rsid w:val="00C1547F"/>
    <w:rsid w:val="00C15CF7"/>
    <w:rsid w:val="00C15FE3"/>
    <w:rsid w:val="00C161FA"/>
    <w:rsid w:val="00C164D4"/>
    <w:rsid w:val="00C16CAA"/>
    <w:rsid w:val="00C16D0E"/>
    <w:rsid w:val="00C16E63"/>
    <w:rsid w:val="00C175BE"/>
    <w:rsid w:val="00C17623"/>
    <w:rsid w:val="00C178B0"/>
    <w:rsid w:val="00C178DB"/>
    <w:rsid w:val="00C17C0D"/>
    <w:rsid w:val="00C20219"/>
    <w:rsid w:val="00C20789"/>
    <w:rsid w:val="00C2090E"/>
    <w:rsid w:val="00C20AD6"/>
    <w:rsid w:val="00C20E1F"/>
    <w:rsid w:val="00C2139D"/>
    <w:rsid w:val="00C21508"/>
    <w:rsid w:val="00C2159D"/>
    <w:rsid w:val="00C21EEE"/>
    <w:rsid w:val="00C22257"/>
    <w:rsid w:val="00C226F6"/>
    <w:rsid w:val="00C22F9B"/>
    <w:rsid w:val="00C23437"/>
    <w:rsid w:val="00C23D15"/>
    <w:rsid w:val="00C2431C"/>
    <w:rsid w:val="00C24D44"/>
    <w:rsid w:val="00C24EF2"/>
    <w:rsid w:val="00C253F5"/>
    <w:rsid w:val="00C25853"/>
    <w:rsid w:val="00C259DF"/>
    <w:rsid w:val="00C259EC"/>
    <w:rsid w:val="00C25B7D"/>
    <w:rsid w:val="00C25BA1"/>
    <w:rsid w:val="00C261C3"/>
    <w:rsid w:val="00C266D7"/>
    <w:rsid w:val="00C2690A"/>
    <w:rsid w:val="00C26AA2"/>
    <w:rsid w:val="00C26D5D"/>
    <w:rsid w:val="00C27193"/>
    <w:rsid w:val="00C273F2"/>
    <w:rsid w:val="00C275EC"/>
    <w:rsid w:val="00C30545"/>
    <w:rsid w:val="00C30B8F"/>
    <w:rsid w:val="00C30BFA"/>
    <w:rsid w:val="00C30ECE"/>
    <w:rsid w:val="00C30F3B"/>
    <w:rsid w:val="00C31143"/>
    <w:rsid w:val="00C31BC7"/>
    <w:rsid w:val="00C31BDD"/>
    <w:rsid w:val="00C31D6F"/>
    <w:rsid w:val="00C31F98"/>
    <w:rsid w:val="00C32280"/>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8E5"/>
    <w:rsid w:val="00C35A91"/>
    <w:rsid w:val="00C35ABB"/>
    <w:rsid w:val="00C35D05"/>
    <w:rsid w:val="00C35DB4"/>
    <w:rsid w:val="00C3604A"/>
    <w:rsid w:val="00C3607E"/>
    <w:rsid w:val="00C36277"/>
    <w:rsid w:val="00C363F6"/>
    <w:rsid w:val="00C36500"/>
    <w:rsid w:val="00C36713"/>
    <w:rsid w:val="00C36845"/>
    <w:rsid w:val="00C375AB"/>
    <w:rsid w:val="00C375B0"/>
    <w:rsid w:val="00C378B5"/>
    <w:rsid w:val="00C4003C"/>
    <w:rsid w:val="00C40044"/>
    <w:rsid w:val="00C4009D"/>
    <w:rsid w:val="00C40875"/>
    <w:rsid w:val="00C40C6D"/>
    <w:rsid w:val="00C412C6"/>
    <w:rsid w:val="00C417AF"/>
    <w:rsid w:val="00C417F5"/>
    <w:rsid w:val="00C420B5"/>
    <w:rsid w:val="00C421F3"/>
    <w:rsid w:val="00C42A46"/>
    <w:rsid w:val="00C42B14"/>
    <w:rsid w:val="00C4328E"/>
    <w:rsid w:val="00C4372C"/>
    <w:rsid w:val="00C43D11"/>
    <w:rsid w:val="00C44098"/>
    <w:rsid w:val="00C441B7"/>
    <w:rsid w:val="00C45258"/>
    <w:rsid w:val="00C45405"/>
    <w:rsid w:val="00C454B0"/>
    <w:rsid w:val="00C45A10"/>
    <w:rsid w:val="00C45B88"/>
    <w:rsid w:val="00C45C20"/>
    <w:rsid w:val="00C46210"/>
    <w:rsid w:val="00C4665F"/>
    <w:rsid w:val="00C4693B"/>
    <w:rsid w:val="00C46D97"/>
    <w:rsid w:val="00C46FC2"/>
    <w:rsid w:val="00C470CB"/>
    <w:rsid w:val="00C47275"/>
    <w:rsid w:val="00C473A1"/>
    <w:rsid w:val="00C47798"/>
    <w:rsid w:val="00C501EA"/>
    <w:rsid w:val="00C50620"/>
    <w:rsid w:val="00C50CE0"/>
    <w:rsid w:val="00C50D29"/>
    <w:rsid w:val="00C50E43"/>
    <w:rsid w:val="00C50ECA"/>
    <w:rsid w:val="00C518AE"/>
    <w:rsid w:val="00C51918"/>
    <w:rsid w:val="00C51FF9"/>
    <w:rsid w:val="00C52229"/>
    <w:rsid w:val="00C527F7"/>
    <w:rsid w:val="00C52A65"/>
    <w:rsid w:val="00C52CBF"/>
    <w:rsid w:val="00C52EF9"/>
    <w:rsid w:val="00C52F15"/>
    <w:rsid w:val="00C53167"/>
    <w:rsid w:val="00C534AA"/>
    <w:rsid w:val="00C537A3"/>
    <w:rsid w:val="00C53A1A"/>
    <w:rsid w:val="00C53A45"/>
    <w:rsid w:val="00C53AD6"/>
    <w:rsid w:val="00C53D78"/>
    <w:rsid w:val="00C53FF1"/>
    <w:rsid w:val="00C54325"/>
    <w:rsid w:val="00C54524"/>
    <w:rsid w:val="00C545E4"/>
    <w:rsid w:val="00C548D3"/>
    <w:rsid w:val="00C54B22"/>
    <w:rsid w:val="00C54F70"/>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5EE"/>
    <w:rsid w:val="00C62879"/>
    <w:rsid w:val="00C62C24"/>
    <w:rsid w:val="00C62C57"/>
    <w:rsid w:val="00C62E8F"/>
    <w:rsid w:val="00C62F2B"/>
    <w:rsid w:val="00C638AA"/>
    <w:rsid w:val="00C63968"/>
    <w:rsid w:val="00C63E0F"/>
    <w:rsid w:val="00C63E9F"/>
    <w:rsid w:val="00C64D32"/>
    <w:rsid w:val="00C65851"/>
    <w:rsid w:val="00C65895"/>
    <w:rsid w:val="00C65970"/>
    <w:rsid w:val="00C659A9"/>
    <w:rsid w:val="00C65BDF"/>
    <w:rsid w:val="00C65D9C"/>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B41"/>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BE4"/>
    <w:rsid w:val="00C77C67"/>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36B"/>
    <w:rsid w:val="00C854E2"/>
    <w:rsid w:val="00C854F5"/>
    <w:rsid w:val="00C856C6"/>
    <w:rsid w:val="00C858DC"/>
    <w:rsid w:val="00C85BEF"/>
    <w:rsid w:val="00C85C17"/>
    <w:rsid w:val="00C85E01"/>
    <w:rsid w:val="00C85F9D"/>
    <w:rsid w:val="00C85FC2"/>
    <w:rsid w:val="00C862DB"/>
    <w:rsid w:val="00C86422"/>
    <w:rsid w:val="00C86797"/>
    <w:rsid w:val="00C86F72"/>
    <w:rsid w:val="00C87366"/>
    <w:rsid w:val="00C8739C"/>
    <w:rsid w:val="00C87B0A"/>
    <w:rsid w:val="00C87CAF"/>
    <w:rsid w:val="00C90149"/>
    <w:rsid w:val="00C9081E"/>
    <w:rsid w:val="00C908D8"/>
    <w:rsid w:val="00C90EBD"/>
    <w:rsid w:val="00C90FB8"/>
    <w:rsid w:val="00C9100E"/>
    <w:rsid w:val="00C9103A"/>
    <w:rsid w:val="00C91205"/>
    <w:rsid w:val="00C91245"/>
    <w:rsid w:val="00C9138D"/>
    <w:rsid w:val="00C91590"/>
    <w:rsid w:val="00C91AB6"/>
    <w:rsid w:val="00C91EC0"/>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EDD"/>
    <w:rsid w:val="00C96F47"/>
    <w:rsid w:val="00C970B9"/>
    <w:rsid w:val="00C972AD"/>
    <w:rsid w:val="00C97573"/>
    <w:rsid w:val="00C978C5"/>
    <w:rsid w:val="00C97933"/>
    <w:rsid w:val="00C97A4D"/>
    <w:rsid w:val="00C97C67"/>
    <w:rsid w:val="00CA0593"/>
    <w:rsid w:val="00CA0FF5"/>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9F6"/>
    <w:rsid w:val="00CA5FE0"/>
    <w:rsid w:val="00CA6022"/>
    <w:rsid w:val="00CA684A"/>
    <w:rsid w:val="00CA6939"/>
    <w:rsid w:val="00CA6B9E"/>
    <w:rsid w:val="00CA726B"/>
    <w:rsid w:val="00CA730D"/>
    <w:rsid w:val="00CA78F6"/>
    <w:rsid w:val="00CA7B05"/>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2EEA"/>
    <w:rsid w:val="00CB30D8"/>
    <w:rsid w:val="00CB39D1"/>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89"/>
    <w:rsid w:val="00CC4C9F"/>
    <w:rsid w:val="00CC4F10"/>
    <w:rsid w:val="00CC50B7"/>
    <w:rsid w:val="00CC52AF"/>
    <w:rsid w:val="00CC5499"/>
    <w:rsid w:val="00CC57B3"/>
    <w:rsid w:val="00CC5F3D"/>
    <w:rsid w:val="00CC62EB"/>
    <w:rsid w:val="00CC6549"/>
    <w:rsid w:val="00CC6584"/>
    <w:rsid w:val="00CC69F5"/>
    <w:rsid w:val="00CC70E5"/>
    <w:rsid w:val="00CC7318"/>
    <w:rsid w:val="00CC78FB"/>
    <w:rsid w:val="00CC7C5A"/>
    <w:rsid w:val="00CD0134"/>
    <w:rsid w:val="00CD027C"/>
    <w:rsid w:val="00CD0790"/>
    <w:rsid w:val="00CD09DE"/>
    <w:rsid w:val="00CD0BEF"/>
    <w:rsid w:val="00CD1438"/>
    <w:rsid w:val="00CD1744"/>
    <w:rsid w:val="00CD1C77"/>
    <w:rsid w:val="00CD21D8"/>
    <w:rsid w:val="00CD2467"/>
    <w:rsid w:val="00CD250C"/>
    <w:rsid w:val="00CD29EF"/>
    <w:rsid w:val="00CD31BB"/>
    <w:rsid w:val="00CD326E"/>
    <w:rsid w:val="00CD3316"/>
    <w:rsid w:val="00CD3C05"/>
    <w:rsid w:val="00CD4904"/>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814"/>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43F2"/>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51B"/>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8CD"/>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82"/>
    <w:rsid w:val="00D061E8"/>
    <w:rsid w:val="00D06460"/>
    <w:rsid w:val="00D06461"/>
    <w:rsid w:val="00D065E3"/>
    <w:rsid w:val="00D07146"/>
    <w:rsid w:val="00D0719C"/>
    <w:rsid w:val="00D07625"/>
    <w:rsid w:val="00D07710"/>
    <w:rsid w:val="00D07D74"/>
    <w:rsid w:val="00D1074A"/>
    <w:rsid w:val="00D10887"/>
    <w:rsid w:val="00D109F9"/>
    <w:rsid w:val="00D11020"/>
    <w:rsid w:val="00D115AE"/>
    <w:rsid w:val="00D119C3"/>
    <w:rsid w:val="00D11A6A"/>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10"/>
    <w:rsid w:val="00D2167F"/>
    <w:rsid w:val="00D2190F"/>
    <w:rsid w:val="00D21E1C"/>
    <w:rsid w:val="00D2216A"/>
    <w:rsid w:val="00D22C97"/>
    <w:rsid w:val="00D22F00"/>
    <w:rsid w:val="00D22FD5"/>
    <w:rsid w:val="00D233CD"/>
    <w:rsid w:val="00D23873"/>
    <w:rsid w:val="00D23947"/>
    <w:rsid w:val="00D2397E"/>
    <w:rsid w:val="00D23A2C"/>
    <w:rsid w:val="00D241E7"/>
    <w:rsid w:val="00D250FC"/>
    <w:rsid w:val="00D25447"/>
    <w:rsid w:val="00D258A5"/>
    <w:rsid w:val="00D25E44"/>
    <w:rsid w:val="00D25EA3"/>
    <w:rsid w:val="00D25F51"/>
    <w:rsid w:val="00D2623D"/>
    <w:rsid w:val="00D262E6"/>
    <w:rsid w:val="00D262EB"/>
    <w:rsid w:val="00D26420"/>
    <w:rsid w:val="00D26462"/>
    <w:rsid w:val="00D26C86"/>
    <w:rsid w:val="00D27030"/>
    <w:rsid w:val="00D27057"/>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B6B"/>
    <w:rsid w:val="00D33BD1"/>
    <w:rsid w:val="00D33CC9"/>
    <w:rsid w:val="00D341FA"/>
    <w:rsid w:val="00D34228"/>
    <w:rsid w:val="00D34377"/>
    <w:rsid w:val="00D34671"/>
    <w:rsid w:val="00D3470D"/>
    <w:rsid w:val="00D34FC2"/>
    <w:rsid w:val="00D35911"/>
    <w:rsid w:val="00D35DED"/>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2FB"/>
    <w:rsid w:val="00D41AAF"/>
    <w:rsid w:val="00D42123"/>
    <w:rsid w:val="00D4225E"/>
    <w:rsid w:val="00D4247C"/>
    <w:rsid w:val="00D42A1E"/>
    <w:rsid w:val="00D43A93"/>
    <w:rsid w:val="00D43B94"/>
    <w:rsid w:val="00D43D45"/>
    <w:rsid w:val="00D44DF3"/>
    <w:rsid w:val="00D44E08"/>
    <w:rsid w:val="00D451B1"/>
    <w:rsid w:val="00D458B1"/>
    <w:rsid w:val="00D459A1"/>
    <w:rsid w:val="00D45A5F"/>
    <w:rsid w:val="00D45CBC"/>
    <w:rsid w:val="00D4636A"/>
    <w:rsid w:val="00D4695B"/>
    <w:rsid w:val="00D46A0D"/>
    <w:rsid w:val="00D46A92"/>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173"/>
    <w:rsid w:val="00D52250"/>
    <w:rsid w:val="00D52306"/>
    <w:rsid w:val="00D527DD"/>
    <w:rsid w:val="00D52DE0"/>
    <w:rsid w:val="00D52E61"/>
    <w:rsid w:val="00D533A4"/>
    <w:rsid w:val="00D533AB"/>
    <w:rsid w:val="00D538D8"/>
    <w:rsid w:val="00D5398F"/>
    <w:rsid w:val="00D53A8D"/>
    <w:rsid w:val="00D5403B"/>
    <w:rsid w:val="00D5434B"/>
    <w:rsid w:val="00D54860"/>
    <w:rsid w:val="00D54874"/>
    <w:rsid w:val="00D54928"/>
    <w:rsid w:val="00D54B7B"/>
    <w:rsid w:val="00D54D90"/>
    <w:rsid w:val="00D54E1C"/>
    <w:rsid w:val="00D54FD8"/>
    <w:rsid w:val="00D550A3"/>
    <w:rsid w:val="00D551B6"/>
    <w:rsid w:val="00D553A9"/>
    <w:rsid w:val="00D557E6"/>
    <w:rsid w:val="00D558DA"/>
    <w:rsid w:val="00D55A1A"/>
    <w:rsid w:val="00D55B47"/>
    <w:rsid w:val="00D55D76"/>
    <w:rsid w:val="00D5629B"/>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4DF"/>
    <w:rsid w:val="00D625AB"/>
    <w:rsid w:val="00D629B0"/>
    <w:rsid w:val="00D629E6"/>
    <w:rsid w:val="00D62A9D"/>
    <w:rsid w:val="00D62DB5"/>
    <w:rsid w:val="00D62E59"/>
    <w:rsid w:val="00D6365A"/>
    <w:rsid w:val="00D63866"/>
    <w:rsid w:val="00D6394D"/>
    <w:rsid w:val="00D63ACC"/>
    <w:rsid w:val="00D63B77"/>
    <w:rsid w:val="00D6406C"/>
    <w:rsid w:val="00D64096"/>
    <w:rsid w:val="00D644A4"/>
    <w:rsid w:val="00D644C4"/>
    <w:rsid w:val="00D6457E"/>
    <w:rsid w:val="00D64632"/>
    <w:rsid w:val="00D6524B"/>
    <w:rsid w:val="00D65BA0"/>
    <w:rsid w:val="00D65F5C"/>
    <w:rsid w:val="00D66449"/>
    <w:rsid w:val="00D666BD"/>
    <w:rsid w:val="00D668B4"/>
    <w:rsid w:val="00D67071"/>
    <w:rsid w:val="00D672D1"/>
    <w:rsid w:val="00D67BC9"/>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FEB"/>
    <w:rsid w:val="00D8208C"/>
    <w:rsid w:val="00D825BB"/>
    <w:rsid w:val="00D833A7"/>
    <w:rsid w:val="00D835A5"/>
    <w:rsid w:val="00D835DF"/>
    <w:rsid w:val="00D8365D"/>
    <w:rsid w:val="00D83706"/>
    <w:rsid w:val="00D83775"/>
    <w:rsid w:val="00D8379C"/>
    <w:rsid w:val="00D83AA4"/>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90085"/>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847"/>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0FC6"/>
    <w:rsid w:val="00DA1AB7"/>
    <w:rsid w:val="00DA2079"/>
    <w:rsid w:val="00DA2153"/>
    <w:rsid w:val="00DA2156"/>
    <w:rsid w:val="00DA23A1"/>
    <w:rsid w:val="00DA2508"/>
    <w:rsid w:val="00DA272C"/>
    <w:rsid w:val="00DA281F"/>
    <w:rsid w:val="00DA2953"/>
    <w:rsid w:val="00DA2A11"/>
    <w:rsid w:val="00DA37B4"/>
    <w:rsid w:val="00DA3AAA"/>
    <w:rsid w:val="00DA3D27"/>
    <w:rsid w:val="00DA436F"/>
    <w:rsid w:val="00DA4652"/>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58A"/>
    <w:rsid w:val="00DB098B"/>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17E"/>
    <w:rsid w:val="00DB77BB"/>
    <w:rsid w:val="00DB78C1"/>
    <w:rsid w:val="00DB7D5B"/>
    <w:rsid w:val="00DC0279"/>
    <w:rsid w:val="00DC0400"/>
    <w:rsid w:val="00DC0A4E"/>
    <w:rsid w:val="00DC0F82"/>
    <w:rsid w:val="00DC103B"/>
    <w:rsid w:val="00DC1700"/>
    <w:rsid w:val="00DC1C5F"/>
    <w:rsid w:val="00DC243A"/>
    <w:rsid w:val="00DC27F9"/>
    <w:rsid w:val="00DC2AF3"/>
    <w:rsid w:val="00DC2E16"/>
    <w:rsid w:val="00DC2ED2"/>
    <w:rsid w:val="00DC2EDE"/>
    <w:rsid w:val="00DC302C"/>
    <w:rsid w:val="00DC3388"/>
    <w:rsid w:val="00DC424C"/>
    <w:rsid w:val="00DC4783"/>
    <w:rsid w:val="00DC48FE"/>
    <w:rsid w:val="00DC4AEB"/>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99C"/>
    <w:rsid w:val="00DD0B0D"/>
    <w:rsid w:val="00DD1110"/>
    <w:rsid w:val="00DD1265"/>
    <w:rsid w:val="00DD12FC"/>
    <w:rsid w:val="00DD185D"/>
    <w:rsid w:val="00DD1977"/>
    <w:rsid w:val="00DD1ABB"/>
    <w:rsid w:val="00DD1EA8"/>
    <w:rsid w:val="00DD1F8F"/>
    <w:rsid w:val="00DD2197"/>
    <w:rsid w:val="00DD226B"/>
    <w:rsid w:val="00DD2CA5"/>
    <w:rsid w:val="00DD2D58"/>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6FA"/>
    <w:rsid w:val="00DE18A4"/>
    <w:rsid w:val="00DE1A85"/>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C60"/>
    <w:rsid w:val="00DE6DFB"/>
    <w:rsid w:val="00DE7BC7"/>
    <w:rsid w:val="00DE7DDF"/>
    <w:rsid w:val="00DE7F33"/>
    <w:rsid w:val="00DF067D"/>
    <w:rsid w:val="00DF06D0"/>
    <w:rsid w:val="00DF0916"/>
    <w:rsid w:val="00DF0CB7"/>
    <w:rsid w:val="00DF145B"/>
    <w:rsid w:val="00DF1D57"/>
    <w:rsid w:val="00DF1D5C"/>
    <w:rsid w:val="00DF20A4"/>
    <w:rsid w:val="00DF22BA"/>
    <w:rsid w:val="00DF2339"/>
    <w:rsid w:val="00DF2439"/>
    <w:rsid w:val="00DF2461"/>
    <w:rsid w:val="00DF294D"/>
    <w:rsid w:val="00DF2CAD"/>
    <w:rsid w:val="00DF3117"/>
    <w:rsid w:val="00DF3C33"/>
    <w:rsid w:val="00DF41C6"/>
    <w:rsid w:val="00DF41EB"/>
    <w:rsid w:val="00DF44D9"/>
    <w:rsid w:val="00DF4539"/>
    <w:rsid w:val="00DF47AC"/>
    <w:rsid w:val="00DF494C"/>
    <w:rsid w:val="00DF4AC2"/>
    <w:rsid w:val="00DF4D04"/>
    <w:rsid w:val="00DF5851"/>
    <w:rsid w:val="00DF5CD3"/>
    <w:rsid w:val="00DF5D3C"/>
    <w:rsid w:val="00DF5D7E"/>
    <w:rsid w:val="00DF641A"/>
    <w:rsid w:val="00DF6464"/>
    <w:rsid w:val="00DF678A"/>
    <w:rsid w:val="00DF7284"/>
    <w:rsid w:val="00DF72D4"/>
    <w:rsid w:val="00DF7338"/>
    <w:rsid w:val="00DF736D"/>
    <w:rsid w:val="00DF76B6"/>
    <w:rsid w:val="00DF7863"/>
    <w:rsid w:val="00DF7994"/>
    <w:rsid w:val="00E00186"/>
    <w:rsid w:val="00E0027A"/>
    <w:rsid w:val="00E00468"/>
    <w:rsid w:val="00E00933"/>
    <w:rsid w:val="00E00A40"/>
    <w:rsid w:val="00E0129D"/>
    <w:rsid w:val="00E0149D"/>
    <w:rsid w:val="00E015EC"/>
    <w:rsid w:val="00E018BF"/>
    <w:rsid w:val="00E01AD5"/>
    <w:rsid w:val="00E01B37"/>
    <w:rsid w:val="00E0211C"/>
    <w:rsid w:val="00E02230"/>
    <w:rsid w:val="00E0288C"/>
    <w:rsid w:val="00E02A0D"/>
    <w:rsid w:val="00E02D2C"/>
    <w:rsid w:val="00E03183"/>
    <w:rsid w:val="00E037EA"/>
    <w:rsid w:val="00E03856"/>
    <w:rsid w:val="00E03ED2"/>
    <w:rsid w:val="00E03F0D"/>
    <w:rsid w:val="00E0416E"/>
    <w:rsid w:val="00E04208"/>
    <w:rsid w:val="00E04365"/>
    <w:rsid w:val="00E051F3"/>
    <w:rsid w:val="00E055DC"/>
    <w:rsid w:val="00E059D1"/>
    <w:rsid w:val="00E05C2C"/>
    <w:rsid w:val="00E05C88"/>
    <w:rsid w:val="00E05D3B"/>
    <w:rsid w:val="00E06726"/>
    <w:rsid w:val="00E067AC"/>
    <w:rsid w:val="00E06CAD"/>
    <w:rsid w:val="00E06D08"/>
    <w:rsid w:val="00E07053"/>
    <w:rsid w:val="00E07125"/>
    <w:rsid w:val="00E072A4"/>
    <w:rsid w:val="00E0764B"/>
    <w:rsid w:val="00E07B0F"/>
    <w:rsid w:val="00E07BF7"/>
    <w:rsid w:val="00E07D3D"/>
    <w:rsid w:val="00E100BC"/>
    <w:rsid w:val="00E1021A"/>
    <w:rsid w:val="00E1035C"/>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55D"/>
    <w:rsid w:val="00E13E42"/>
    <w:rsid w:val="00E142ED"/>
    <w:rsid w:val="00E1431E"/>
    <w:rsid w:val="00E143D0"/>
    <w:rsid w:val="00E1449D"/>
    <w:rsid w:val="00E144D2"/>
    <w:rsid w:val="00E145F0"/>
    <w:rsid w:val="00E1462C"/>
    <w:rsid w:val="00E14FC4"/>
    <w:rsid w:val="00E15910"/>
    <w:rsid w:val="00E1595D"/>
    <w:rsid w:val="00E1596F"/>
    <w:rsid w:val="00E15C31"/>
    <w:rsid w:val="00E15C9B"/>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134B"/>
    <w:rsid w:val="00E2156B"/>
    <w:rsid w:val="00E2169B"/>
    <w:rsid w:val="00E2191F"/>
    <w:rsid w:val="00E21F78"/>
    <w:rsid w:val="00E2201E"/>
    <w:rsid w:val="00E223B2"/>
    <w:rsid w:val="00E22554"/>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CF0"/>
    <w:rsid w:val="00E31FEF"/>
    <w:rsid w:val="00E320FB"/>
    <w:rsid w:val="00E3214C"/>
    <w:rsid w:val="00E32505"/>
    <w:rsid w:val="00E3298F"/>
    <w:rsid w:val="00E330EE"/>
    <w:rsid w:val="00E334DE"/>
    <w:rsid w:val="00E3380E"/>
    <w:rsid w:val="00E3384B"/>
    <w:rsid w:val="00E33A70"/>
    <w:rsid w:val="00E33D39"/>
    <w:rsid w:val="00E34507"/>
    <w:rsid w:val="00E34D95"/>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047"/>
    <w:rsid w:val="00E41263"/>
    <w:rsid w:val="00E412B9"/>
    <w:rsid w:val="00E41639"/>
    <w:rsid w:val="00E41ADC"/>
    <w:rsid w:val="00E41CAE"/>
    <w:rsid w:val="00E41D15"/>
    <w:rsid w:val="00E41E9A"/>
    <w:rsid w:val="00E4252D"/>
    <w:rsid w:val="00E4290D"/>
    <w:rsid w:val="00E42CBB"/>
    <w:rsid w:val="00E43079"/>
    <w:rsid w:val="00E442FE"/>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72F"/>
    <w:rsid w:val="00E53877"/>
    <w:rsid w:val="00E53DBF"/>
    <w:rsid w:val="00E540E9"/>
    <w:rsid w:val="00E5468E"/>
    <w:rsid w:val="00E549DE"/>
    <w:rsid w:val="00E54C46"/>
    <w:rsid w:val="00E559A1"/>
    <w:rsid w:val="00E55EE8"/>
    <w:rsid w:val="00E55F59"/>
    <w:rsid w:val="00E5604A"/>
    <w:rsid w:val="00E5605B"/>
    <w:rsid w:val="00E5614B"/>
    <w:rsid w:val="00E56542"/>
    <w:rsid w:val="00E5667F"/>
    <w:rsid w:val="00E5678B"/>
    <w:rsid w:val="00E56C4B"/>
    <w:rsid w:val="00E56D6B"/>
    <w:rsid w:val="00E56E5B"/>
    <w:rsid w:val="00E573F3"/>
    <w:rsid w:val="00E57610"/>
    <w:rsid w:val="00E576F2"/>
    <w:rsid w:val="00E57874"/>
    <w:rsid w:val="00E5794A"/>
    <w:rsid w:val="00E57F83"/>
    <w:rsid w:val="00E60268"/>
    <w:rsid w:val="00E60387"/>
    <w:rsid w:val="00E60901"/>
    <w:rsid w:val="00E61114"/>
    <w:rsid w:val="00E61215"/>
    <w:rsid w:val="00E61D17"/>
    <w:rsid w:val="00E621EE"/>
    <w:rsid w:val="00E62355"/>
    <w:rsid w:val="00E6307B"/>
    <w:rsid w:val="00E632F8"/>
    <w:rsid w:val="00E63558"/>
    <w:rsid w:val="00E638EB"/>
    <w:rsid w:val="00E63A64"/>
    <w:rsid w:val="00E63D12"/>
    <w:rsid w:val="00E64090"/>
    <w:rsid w:val="00E64867"/>
    <w:rsid w:val="00E64E9E"/>
    <w:rsid w:val="00E6536C"/>
    <w:rsid w:val="00E654A9"/>
    <w:rsid w:val="00E65751"/>
    <w:rsid w:val="00E65EE2"/>
    <w:rsid w:val="00E65F0E"/>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E4"/>
    <w:rsid w:val="00E74352"/>
    <w:rsid w:val="00E74856"/>
    <w:rsid w:val="00E7518A"/>
    <w:rsid w:val="00E7518B"/>
    <w:rsid w:val="00E75193"/>
    <w:rsid w:val="00E754EC"/>
    <w:rsid w:val="00E7554B"/>
    <w:rsid w:val="00E75A70"/>
    <w:rsid w:val="00E75DEE"/>
    <w:rsid w:val="00E76189"/>
    <w:rsid w:val="00E76799"/>
    <w:rsid w:val="00E76F94"/>
    <w:rsid w:val="00E7705C"/>
    <w:rsid w:val="00E77414"/>
    <w:rsid w:val="00E774E1"/>
    <w:rsid w:val="00E7762B"/>
    <w:rsid w:val="00E7767D"/>
    <w:rsid w:val="00E7792A"/>
    <w:rsid w:val="00E80251"/>
    <w:rsid w:val="00E80991"/>
    <w:rsid w:val="00E80A40"/>
    <w:rsid w:val="00E80B1C"/>
    <w:rsid w:val="00E81250"/>
    <w:rsid w:val="00E813F4"/>
    <w:rsid w:val="00E81463"/>
    <w:rsid w:val="00E819F6"/>
    <w:rsid w:val="00E81A2E"/>
    <w:rsid w:val="00E81E20"/>
    <w:rsid w:val="00E82014"/>
    <w:rsid w:val="00E8201E"/>
    <w:rsid w:val="00E822A2"/>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F05"/>
    <w:rsid w:val="00E923EE"/>
    <w:rsid w:val="00E9249A"/>
    <w:rsid w:val="00E925C3"/>
    <w:rsid w:val="00E92E20"/>
    <w:rsid w:val="00E9375D"/>
    <w:rsid w:val="00E93980"/>
    <w:rsid w:val="00E93D0C"/>
    <w:rsid w:val="00E93D45"/>
    <w:rsid w:val="00E94AC3"/>
    <w:rsid w:val="00E95568"/>
    <w:rsid w:val="00E95A42"/>
    <w:rsid w:val="00E95DC9"/>
    <w:rsid w:val="00E95F59"/>
    <w:rsid w:val="00E962EA"/>
    <w:rsid w:val="00E96E5C"/>
    <w:rsid w:val="00E97020"/>
    <w:rsid w:val="00E9751D"/>
    <w:rsid w:val="00E97A01"/>
    <w:rsid w:val="00E97DC5"/>
    <w:rsid w:val="00EA01C6"/>
    <w:rsid w:val="00EA05C2"/>
    <w:rsid w:val="00EA0960"/>
    <w:rsid w:val="00EA0962"/>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BDF"/>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9BD"/>
    <w:rsid w:val="00EA7AC7"/>
    <w:rsid w:val="00EA7BF6"/>
    <w:rsid w:val="00EA7CD0"/>
    <w:rsid w:val="00EA7D46"/>
    <w:rsid w:val="00EB003D"/>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DB0"/>
    <w:rsid w:val="00EB72B0"/>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1D74"/>
    <w:rsid w:val="00ED228C"/>
    <w:rsid w:val="00ED2840"/>
    <w:rsid w:val="00ED2929"/>
    <w:rsid w:val="00ED29EE"/>
    <w:rsid w:val="00ED2CD7"/>
    <w:rsid w:val="00ED315D"/>
    <w:rsid w:val="00ED35E7"/>
    <w:rsid w:val="00ED3862"/>
    <w:rsid w:val="00ED41CC"/>
    <w:rsid w:val="00ED4C1D"/>
    <w:rsid w:val="00ED4E1B"/>
    <w:rsid w:val="00ED4EF5"/>
    <w:rsid w:val="00ED5251"/>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EA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874"/>
    <w:rsid w:val="00EF5DC1"/>
    <w:rsid w:val="00EF65F1"/>
    <w:rsid w:val="00EF66ED"/>
    <w:rsid w:val="00EF69A1"/>
    <w:rsid w:val="00EF6A36"/>
    <w:rsid w:val="00EF6C51"/>
    <w:rsid w:val="00EF6CD2"/>
    <w:rsid w:val="00EF7457"/>
    <w:rsid w:val="00EF7652"/>
    <w:rsid w:val="00EF7CAE"/>
    <w:rsid w:val="00F0064A"/>
    <w:rsid w:val="00F0069C"/>
    <w:rsid w:val="00F00733"/>
    <w:rsid w:val="00F00AD7"/>
    <w:rsid w:val="00F00BD0"/>
    <w:rsid w:val="00F01798"/>
    <w:rsid w:val="00F01885"/>
    <w:rsid w:val="00F020BB"/>
    <w:rsid w:val="00F0225B"/>
    <w:rsid w:val="00F0262F"/>
    <w:rsid w:val="00F02CFA"/>
    <w:rsid w:val="00F03291"/>
    <w:rsid w:val="00F0388D"/>
    <w:rsid w:val="00F03C53"/>
    <w:rsid w:val="00F03D69"/>
    <w:rsid w:val="00F03E4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590"/>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742"/>
    <w:rsid w:val="00F14994"/>
    <w:rsid w:val="00F14A43"/>
    <w:rsid w:val="00F14C98"/>
    <w:rsid w:val="00F14CDB"/>
    <w:rsid w:val="00F14EC2"/>
    <w:rsid w:val="00F150CD"/>
    <w:rsid w:val="00F1531D"/>
    <w:rsid w:val="00F1539B"/>
    <w:rsid w:val="00F15541"/>
    <w:rsid w:val="00F15B3D"/>
    <w:rsid w:val="00F15D35"/>
    <w:rsid w:val="00F15F5F"/>
    <w:rsid w:val="00F165C7"/>
    <w:rsid w:val="00F1666C"/>
    <w:rsid w:val="00F16CB5"/>
    <w:rsid w:val="00F17106"/>
    <w:rsid w:val="00F17171"/>
    <w:rsid w:val="00F171B2"/>
    <w:rsid w:val="00F172EC"/>
    <w:rsid w:val="00F173FB"/>
    <w:rsid w:val="00F175E2"/>
    <w:rsid w:val="00F179E3"/>
    <w:rsid w:val="00F17D45"/>
    <w:rsid w:val="00F200B4"/>
    <w:rsid w:val="00F20368"/>
    <w:rsid w:val="00F20462"/>
    <w:rsid w:val="00F2064E"/>
    <w:rsid w:val="00F20934"/>
    <w:rsid w:val="00F20EDA"/>
    <w:rsid w:val="00F21C66"/>
    <w:rsid w:val="00F2208C"/>
    <w:rsid w:val="00F2227C"/>
    <w:rsid w:val="00F224DD"/>
    <w:rsid w:val="00F2285F"/>
    <w:rsid w:val="00F228BA"/>
    <w:rsid w:val="00F22C50"/>
    <w:rsid w:val="00F22CF3"/>
    <w:rsid w:val="00F236D3"/>
    <w:rsid w:val="00F23744"/>
    <w:rsid w:val="00F2380A"/>
    <w:rsid w:val="00F2393F"/>
    <w:rsid w:val="00F23A50"/>
    <w:rsid w:val="00F23E23"/>
    <w:rsid w:val="00F23FC1"/>
    <w:rsid w:val="00F2465D"/>
    <w:rsid w:val="00F24A57"/>
    <w:rsid w:val="00F24E40"/>
    <w:rsid w:val="00F2513C"/>
    <w:rsid w:val="00F25148"/>
    <w:rsid w:val="00F2515E"/>
    <w:rsid w:val="00F2577F"/>
    <w:rsid w:val="00F25A17"/>
    <w:rsid w:val="00F25C69"/>
    <w:rsid w:val="00F25C90"/>
    <w:rsid w:val="00F25FFA"/>
    <w:rsid w:val="00F26723"/>
    <w:rsid w:val="00F26DF6"/>
    <w:rsid w:val="00F2726E"/>
    <w:rsid w:val="00F2750E"/>
    <w:rsid w:val="00F27997"/>
    <w:rsid w:val="00F279BC"/>
    <w:rsid w:val="00F27CD3"/>
    <w:rsid w:val="00F27D84"/>
    <w:rsid w:val="00F27E87"/>
    <w:rsid w:val="00F27FA1"/>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3FD4"/>
    <w:rsid w:val="00F44624"/>
    <w:rsid w:val="00F446AA"/>
    <w:rsid w:val="00F44AB1"/>
    <w:rsid w:val="00F4521E"/>
    <w:rsid w:val="00F45BAE"/>
    <w:rsid w:val="00F461DF"/>
    <w:rsid w:val="00F466D4"/>
    <w:rsid w:val="00F468BE"/>
    <w:rsid w:val="00F46FD3"/>
    <w:rsid w:val="00F4706C"/>
    <w:rsid w:val="00F472A3"/>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29"/>
    <w:rsid w:val="00F54DB0"/>
    <w:rsid w:val="00F5531B"/>
    <w:rsid w:val="00F556FA"/>
    <w:rsid w:val="00F55D91"/>
    <w:rsid w:val="00F55E5E"/>
    <w:rsid w:val="00F569D5"/>
    <w:rsid w:val="00F56C7D"/>
    <w:rsid w:val="00F56DC1"/>
    <w:rsid w:val="00F56FEE"/>
    <w:rsid w:val="00F605D8"/>
    <w:rsid w:val="00F6062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4B63"/>
    <w:rsid w:val="00F65007"/>
    <w:rsid w:val="00F65185"/>
    <w:rsid w:val="00F651B3"/>
    <w:rsid w:val="00F653D3"/>
    <w:rsid w:val="00F65620"/>
    <w:rsid w:val="00F659BD"/>
    <w:rsid w:val="00F65A4D"/>
    <w:rsid w:val="00F65C0F"/>
    <w:rsid w:val="00F65C5F"/>
    <w:rsid w:val="00F65C9E"/>
    <w:rsid w:val="00F65D0F"/>
    <w:rsid w:val="00F65E6A"/>
    <w:rsid w:val="00F665CA"/>
    <w:rsid w:val="00F669B2"/>
    <w:rsid w:val="00F66B68"/>
    <w:rsid w:val="00F66C9B"/>
    <w:rsid w:val="00F66F4F"/>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0D6"/>
    <w:rsid w:val="00F7314E"/>
    <w:rsid w:val="00F73157"/>
    <w:rsid w:val="00F735A5"/>
    <w:rsid w:val="00F7379A"/>
    <w:rsid w:val="00F73AE2"/>
    <w:rsid w:val="00F73F99"/>
    <w:rsid w:val="00F74AB4"/>
    <w:rsid w:val="00F75215"/>
    <w:rsid w:val="00F754D7"/>
    <w:rsid w:val="00F75568"/>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2F93"/>
    <w:rsid w:val="00F83291"/>
    <w:rsid w:val="00F8332D"/>
    <w:rsid w:val="00F83F36"/>
    <w:rsid w:val="00F83FD8"/>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03"/>
    <w:rsid w:val="00F9086C"/>
    <w:rsid w:val="00F90C57"/>
    <w:rsid w:val="00F910D6"/>
    <w:rsid w:val="00F91324"/>
    <w:rsid w:val="00F91750"/>
    <w:rsid w:val="00F91B2D"/>
    <w:rsid w:val="00F91C04"/>
    <w:rsid w:val="00F91C72"/>
    <w:rsid w:val="00F91E23"/>
    <w:rsid w:val="00F92168"/>
    <w:rsid w:val="00F9285D"/>
    <w:rsid w:val="00F928A0"/>
    <w:rsid w:val="00F932B3"/>
    <w:rsid w:val="00F93415"/>
    <w:rsid w:val="00F936AD"/>
    <w:rsid w:val="00F9380E"/>
    <w:rsid w:val="00F9385E"/>
    <w:rsid w:val="00F93BB8"/>
    <w:rsid w:val="00F93DDF"/>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3C"/>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8B"/>
    <w:rsid w:val="00FA3F91"/>
    <w:rsid w:val="00FA44BE"/>
    <w:rsid w:val="00FA44CA"/>
    <w:rsid w:val="00FA44FE"/>
    <w:rsid w:val="00FA454F"/>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B0246"/>
    <w:rsid w:val="00FB0D85"/>
    <w:rsid w:val="00FB0E44"/>
    <w:rsid w:val="00FB19E5"/>
    <w:rsid w:val="00FB1CDC"/>
    <w:rsid w:val="00FB1F2D"/>
    <w:rsid w:val="00FB1F46"/>
    <w:rsid w:val="00FB245F"/>
    <w:rsid w:val="00FB25D5"/>
    <w:rsid w:val="00FB2984"/>
    <w:rsid w:val="00FB2A2E"/>
    <w:rsid w:val="00FB2C91"/>
    <w:rsid w:val="00FB2CB0"/>
    <w:rsid w:val="00FB3112"/>
    <w:rsid w:val="00FB378B"/>
    <w:rsid w:val="00FB39A8"/>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1F62"/>
    <w:rsid w:val="00FC2457"/>
    <w:rsid w:val="00FC303B"/>
    <w:rsid w:val="00FC3685"/>
    <w:rsid w:val="00FC37E5"/>
    <w:rsid w:val="00FC3956"/>
    <w:rsid w:val="00FC3B9D"/>
    <w:rsid w:val="00FC3C23"/>
    <w:rsid w:val="00FC3C5D"/>
    <w:rsid w:val="00FC427B"/>
    <w:rsid w:val="00FC42D8"/>
    <w:rsid w:val="00FC4562"/>
    <w:rsid w:val="00FC468C"/>
    <w:rsid w:val="00FC49F6"/>
    <w:rsid w:val="00FC4C8C"/>
    <w:rsid w:val="00FC4D9F"/>
    <w:rsid w:val="00FC4F4D"/>
    <w:rsid w:val="00FC542B"/>
    <w:rsid w:val="00FC61E9"/>
    <w:rsid w:val="00FC6FDD"/>
    <w:rsid w:val="00FC75BA"/>
    <w:rsid w:val="00FC774A"/>
    <w:rsid w:val="00FC78AE"/>
    <w:rsid w:val="00FC78BB"/>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696"/>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5FF"/>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EFC"/>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82F"/>
    <w:rsid w:val="00FE7AA0"/>
    <w:rsid w:val="00FE7D2B"/>
    <w:rsid w:val="00FF0268"/>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C19"/>
    <w:rsid w:val="00FF5EB6"/>
    <w:rsid w:val="00FF62D0"/>
    <w:rsid w:val="00FF638F"/>
    <w:rsid w:val="00FF67F6"/>
    <w:rsid w:val="00FF6D5A"/>
    <w:rsid w:val="00FF6E94"/>
    <w:rsid w:val="00FF7226"/>
    <w:rsid w:val="00FF72BF"/>
    <w:rsid w:val="03A67344"/>
    <w:rsid w:val="045721A7"/>
    <w:rsid w:val="05221374"/>
    <w:rsid w:val="0744764B"/>
    <w:rsid w:val="091F009D"/>
    <w:rsid w:val="09284942"/>
    <w:rsid w:val="0EA36093"/>
    <w:rsid w:val="0F124148"/>
    <w:rsid w:val="10D50151"/>
    <w:rsid w:val="16E473F0"/>
    <w:rsid w:val="17A0113F"/>
    <w:rsid w:val="1B4B684D"/>
    <w:rsid w:val="1B9B2757"/>
    <w:rsid w:val="1B9F6217"/>
    <w:rsid w:val="1C990377"/>
    <w:rsid w:val="1EBE1786"/>
    <w:rsid w:val="1F6924FB"/>
    <w:rsid w:val="1F782006"/>
    <w:rsid w:val="1FFA5A5A"/>
    <w:rsid w:val="208838F9"/>
    <w:rsid w:val="20FB1E90"/>
    <w:rsid w:val="21220706"/>
    <w:rsid w:val="24F43A2F"/>
    <w:rsid w:val="27E03752"/>
    <w:rsid w:val="299400D8"/>
    <w:rsid w:val="2A7F14C7"/>
    <w:rsid w:val="2C3F65B2"/>
    <w:rsid w:val="2C661368"/>
    <w:rsid w:val="2F201DE9"/>
    <w:rsid w:val="30E86F62"/>
    <w:rsid w:val="32BA4414"/>
    <w:rsid w:val="38393030"/>
    <w:rsid w:val="3B0A20FC"/>
    <w:rsid w:val="3C4D5903"/>
    <w:rsid w:val="3CFA1FFA"/>
    <w:rsid w:val="3F82139F"/>
    <w:rsid w:val="411026F0"/>
    <w:rsid w:val="42D03BA5"/>
    <w:rsid w:val="43E54616"/>
    <w:rsid w:val="44812D6C"/>
    <w:rsid w:val="45352FB8"/>
    <w:rsid w:val="46E1494D"/>
    <w:rsid w:val="4A955EEB"/>
    <w:rsid w:val="4B5F50AF"/>
    <w:rsid w:val="4D4448F7"/>
    <w:rsid w:val="4D8567B3"/>
    <w:rsid w:val="4DEF5ECE"/>
    <w:rsid w:val="4E187E68"/>
    <w:rsid w:val="4ED65F91"/>
    <w:rsid w:val="50532E6D"/>
    <w:rsid w:val="51F17BCD"/>
    <w:rsid w:val="55D51E01"/>
    <w:rsid w:val="57E970BF"/>
    <w:rsid w:val="5B0A3BA1"/>
    <w:rsid w:val="5CF52D6E"/>
    <w:rsid w:val="5D1A7380"/>
    <w:rsid w:val="5D6D6DA8"/>
    <w:rsid w:val="65D506C1"/>
    <w:rsid w:val="683D7EAA"/>
    <w:rsid w:val="69F56D33"/>
    <w:rsid w:val="6AFA09FE"/>
    <w:rsid w:val="6BF418D8"/>
    <w:rsid w:val="6D1D7521"/>
    <w:rsid w:val="74E46C8D"/>
    <w:rsid w:val="74E700C8"/>
    <w:rsid w:val="75B407DA"/>
    <w:rsid w:val="79E92766"/>
    <w:rsid w:val="7B3E0C9B"/>
    <w:rsid w:val="7B960140"/>
    <w:rsid w:val="7DCB567A"/>
    <w:rsid w:val="7E0A24D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5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0"/>
    <w:qFormat/>
    <w:uiPriority w:val="99"/>
    <w:pPr>
      <w:keepNext/>
      <w:keepLines/>
      <w:pBdr>
        <w:top w:val="single" w:color="auto" w:sz="12" w:space="3"/>
      </w:pBdr>
      <w:spacing w:before="240"/>
      <w:ind w:left="1134" w:hanging="1134"/>
      <w:outlineLvl w:val="0"/>
    </w:pPr>
    <w:rPr>
      <w:rFonts w:ascii="Cambria" w:hAnsi="Cambria"/>
      <w:b/>
      <w:bCs/>
      <w:kern w:val="32"/>
      <w:sz w:val="32"/>
      <w:szCs w:val="32"/>
    </w:rPr>
  </w:style>
  <w:style w:type="paragraph" w:styleId="3">
    <w:name w:val="heading 2"/>
    <w:basedOn w:val="2"/>
    <w:next w:val="1"/>
    <w:link w:val="61"/>
    <w:qFormat/>
    <w:uiPriority w:val="0"/>
    <w:pPr>
      <w:pBdr>
        <w:top w:val="none" w:color="auto" w:sz="0" w:space="0"/>
      </w:pBdr>
      <w:spacing w:before="180"/>
      <w:outlineLvl w:val="1"/>
    </w:pPr>
    <w:rPr>
      <w:i/>
      <w:iCs/>
      <w:kern w:val="0"/>
      <w:sz w:val="28"/>
      <w:szCs w:val="28"/>
    </w:rPr>
  </w:style>
  <w:style w:type="paragraph" w:styleId="4">
    <w:name w:val="heading 3"/>
    <w:basedOn w:val="3"/>
    <w:next w:val="1"/>
    <w:link w:val="62"/>
    <w:qFormat/>
    <w:uiPriority w:val="99"/>
    <w:pPr>
      <w:spacing w:before="120"/>
      <w:outlineLvl w:val="2"/>
    </w:pPr>
    <w:rPr>
      <w:i w:val="0"/>
      <w:iCs w:val="0"/>
      <w:sz w:val="26"/>
      <w:szCs w:val="26"/>
    </w:rPr>
  </w:style>
  <w:style w:type="paragraph" w:styleId="5">
    <w:name w:val="heading 4"/>
    <w:basedOn w:val="4"/>
    <w:next w:val="1"/>
    <w:link w:val="63"/>
    <w:qFormat/>
    <w:uiPriority w:val="99"/>
    <w:pPr>
      <w:ind w:left="1418" w:hanging="1418"/>
      <w:outlineLvl w:val="3"/>
    </w:pPr>
    <w:rPr>
      <w:rFonts w:ascii="Calibri" w:hAnsi="Calibri"/>
      <w:sz w:val="28"/>
      <w:szCs w:val="28"/>
    </w:rPr>
  </w:style>
  <w:style w:type="paragraph" w:styleId="6">
    <w:name w:val="heading 5"/>
    <w:basedOn w:val="5"/>
    <w:next w:val="1"/>
    <w:link w:val="64"/>
    <w:qFormat/>
    <w:uiPriority w:val="99"/>
    <w:pPr>
      <w:ind w:left="1701" w:hanging="1701"/>
      <w:outlineLvl w:val="4"/>
    </w:pPr>
    <w:rPr>
      <w:i/>
      <w:iCs/>
      <w:sz w:val="26"/>
      <w:szCs w:val="26"/>
    </w:rPr>
  </w:style>
  <w:style w:type="paragraph" w:styleId="7">
    <w:name w:val="heading 6"/>
    <w:basedOn w:val="8"/>
    <w:next w:val="1"/>
    <w:link w:val="65"/>
    <w:qFormat/>
    <w:uiPriority w:val="99"/>
    <w:pPr>
      <w:outlineLvl w:val="5"/>
    </w:pPr>
    <w:rPr>
      <w:i w:val="0"/>
      <w:iCs w:val="0"/>
      <w:szCs w:val="20"/>
    </w:rPr>
  </w:style>
  <w:style w:type="paragraph" w:styleId="9">
    <w:name w:val="heading 7"/>
    <w:basedOn w:val="8"/>
    <w:next w:val="1"/>
    <w:link w:val="66"/>
    <w:qFormat/>
    <w:uiPriority w:val="99"/>
    <w:pPr>
      <w:outlineLvl w:val="6"/>
    </w:pPr>
    <w:rPr>
      <w:b w:val="0"/>
      <w:bCs w:val="0"/>
      <w:i w:val="0"/>
      <w:iCs w:val="0"/>
      <w:sz w:val="24"/>
      <w:szCs w:val="24"/>
    </w:rPr>
  </w:style>
  <w:style w:type="paragraph" w:styleId="10">
    <w:name w:val="heading 8"/>
    <w:basedOn w:val="2"/>
    <w:next w:val="1"/>
    <w:link w:val="67"/>
    <w:qFormat/>
    <w:uiPriority w:val="99"/>
    <w:pPr>
      <w:ind w:left="0" w:firstLine="0"/>
      <w:outlineLvl w:val="7"/>
    </w:pPr>
    <w:rPr>
      <w:rFonts w:ascii="Calibri" w:hAnsi="Calibri"/>
      <w:b w:val="0"/>
      <w:bCs w:val="0"/>
      <w:i/>
      <w:iCs/>
      <w:kern w:val="0"/>
      <w:sz w:val="24"/>
      <w:szCs w:val="24"/>
    </w:rPr>
  </w:style>
  <w:style w:type="paragraph" w:styleId="11">
    <w:name w:val="heading 9"/>
    <w:basedOn w:val="10"/>
    <w:next w:val="1"/>
    <w:link w:val="68"/>
    <w:qFormat/>
    <w:uiPriority w:val="99"/>
    <w:p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8"/>
    <w:qFormat/>
    <w:uiPriority w:val="0"/>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3"/>
    <w:semiHidden/>
    <w:qFormat/>
    <w:uiPriority w:val="99"/>
    <w:rPr>
      <w:sz w:val="16"/>
    </w:rPr>
  </w:style>
  <w:style w:type="paragraph" w:styleId="37">
    <w:name w:val="footer"/>
    <w:basedOn w:val="38"/>
    <w:link w:val="103"/>
    <w:qFormat/>
    <w:uiPriority w:val="99"/>
    <w:pPr>
      <w:jc w:val="center"/>
    </w:pPr>
    <w:rPr>
      <w:rFonts w:ascii="Times New Roman" w:hAnsi="Times New Roman"/>
      <w:b w:val="0"/>
      <w:sz w:val="20"/>
      <w:lang w:val="en-GB"/>
    </w:rPr>
  </w:style>
  <w:style w:type="paragraph" w:styleId="38">
    <w:name w:val="header"/>
    <w:basedOn w:val="1"/>
    <w:link w:val="125"/>
    <w:qFormat/>
    <w:uiPriority w:val="99"/>
    <w:pPr>
      <w:widowControl w:val="0"/>
      <w:spacing w:after="0"/>
    </w:pPr>
    <w:rPr>
      <w:rFonts w:ascii="Arial" w:hAnsi="Arial"/>
      <w:b/>
      <w:sz w:val="18"/>
      <w:lang w:val="en-US"/>
    </w:rPr>
  </w:style>
  <w:style w:type="paragraph" w:styleId="39">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3"/>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2"/>
    <w:semiHidden/>
    <w:qFormat/>
    <w:uiPriority w:val="99"/>
    <w:rPr>
      <w:b/>
      <w:bCs/>
    </w:rPr>
  </w:style>
  <w:style w:type="table" w:styleId="50">
    <w:name w:val="Table Grid"/>
    <w:basedOn w:val="49"/>
    <w:qFormat/>
    <w:uiPriority w:val="5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Emphasis"/>
    <w:qFormat/>
    <w:locked/>
    <w:uiPriority w:val="0"/>
    <w:rPr>
      <w:i/>
      <w:iCs/>
    </w:rPr>
  </w:style>
  <w:style w:type="character" w:styleId="57">
    <w:name w:val="Hyperlink"/>
    <w:unhideWhenUsed/>
    <w:qFormat/>
    <w:locked/>
    <w:uiPriority w:val="99"/>
    <w:rPr>
      <w:color w:val="0000FF"/>
      <w:u w:val="single"/>
    </w:rPr>
  </w:style>
  <w:style w:type="character" w:styleId="58">
    <w:name w:val="annotation reference"/>
    <w:qFormat/>
    <w:uiPriority w:val="0"/>
    <w:rPr>
      <w:rFonts w:cs="Times New Roman"/>
      <w:sz w:val="16"/>
      <w:szCs w:val="16"/>
    </w:rPr>
  </w:style>
  <w:style w:type="character" w:styleId="59">
    <w:name w:val="footnote reference"/>
    <w:semiHidden/>
    <w:qFormat/>
    <w:uiPriority w:val="99"/>
    <w:rPr>
      <w:rFonts w:cs="Times New Roman"/>
      <w:b/>
      <w:position w:val="6"/>
      <w:sz w:val="16"/>
    </w:rPr>
  </w:style>
  <w:style w:type="character" w:customStyle="1" w:styleId="60">
    <w:name w:val="标题 1 字符"/>
    <w:link w:val="2"/>
    <w:qFormat/>
    <w:locked/>
    <w:uiPriority w:val="99"/>
    <w:rPr>
      <w:rFonts w:ascii="Cambria" w:hAnsi="Cambria" w:eastAsia="宋体" w:cs="Times New Roman"/>
      <w:b/>
      <w:bCs/>
      <w:kern w:val="32"/>
      <w:sz w:val="32"/>
      <w:szCs w:val="32"/>
      <w:lang w:val="en-GB" w:eastAsia="ja-JP"/>
    </w:rPr>
  </w:style>
  <w:style w:type="character" w:customStyle="1" w:styleId="61">
    <w:name w:val="标题 2 字符"/>
    <w:link w:val="3"/>
    <w:qFormat/>
    <w:locked/>
    <w:uiPriority w:val="0"/>
    <w:rPr>
      <w:rFonts w:ascii="Cambria" w:hAnsi="Cambria" w:eastAsia="宋体" w:cs="Times New Roman"/>
      <w:b/>
      <w:bCs/>
      <w:i/>
      <w:iCs/>
      <w:sz w:val="28"/>
      <w:szCs w:val="28"/>
      <w:lang w:val="en-GB" w:eastAsia="ja-JP"/>
    </w:rPr>
  </w:style>
  <w:style w:type="character" w:customStyle="1" w:styleId="62">
    <w:name w:val="标题 3 字符"/>
    <w:link w:val="4"/>
    <w:semiHidden/>
    <w:qFormat/>
    <w:locked/>
    <w:uiPriority w:val="99"/>
    <w:rPr>
      <w:rFonts w:ascii="Cambria" w:hAnsi="Cambria" w:eastAsia="宋体" w:cs="Times New Roman"/>
      <w:b/>
      <w:bCs/>
      <w:sz w:val="26"/>
      <w:szCs w:val="26"/>
      <w:lang w:val="en-GB" w:eastAsia="ja-JP"/>
    </w:rPr>
  </w:style>
  <w:style w:type="character" w:customStyle="1" w:styleId="63">
    <w:name w:val="标题 4 字符"/>
    <w:link w:val="5"/>
    <w:semiHidden/>
    <w:qFormat/>
    <w:locked/>
    <w:uiPriority w:val="99"/>
    <w:rPr>
      <w:rFonts w:ascii="Calibri" w:hAnsi="Calibri" w:eastAsia="宋体" w:cs="Times New Roman"/>
      <w:b/>
      <w:bCs/>
      <w:sz w:val="28"/>
      <w:szCs w:val="28"/>
      <w:lang w:val="en-GB" w:eastAsia="ja-JP"/>
    </w:rPr>
  </w:style>
  <w:style w:type="character" w:customStyle="1" w:styleId="64">
    <w:name w:val="标题 5 字符"/>
    <w:link w:val="6"/>
    <w:semiHidden/>
    <w:qFormat/>
    <w:locked/>
    <w:uiPriority w:val="99"/>
    <w:rPr>
      <w:rFonts w:ascii="Calibri" w:hAnsi="Calibri" w:eastAsia="宋体" w:cs="Times New Roman"/>
      <w:b/>
      <w:bCs/>
      <w:i/>
      <w:iCs/>
      <w:sz w:val="26"/>
      <w:szCs w:val="26"/>
      <w:lang w:val="en-GB" w:eastAsia="ja-JP"/>
    </w:rPr>
  </w:style>
  <w:style w:type="character" w:customStyle="1" w:styleId="65">
    <w:name w:val="标题 6 字符"/>
    <w:link w:val="7"/>
    <w:semiHidden/>
    <w:qFormat/>
    <w:locked/>
    <w:uiPriority w:val="99"/>
    <w:rPr>
      <w:rFonts w:ascii="Calibri" w:hAnsi="Calibri" w:eastAsia="宋体" w:cs="Times New Roman"/>
      <w:b/>
      <w:bCs/>
      <w:lang w:val="en-GB" w:eastAsia="ja-JP"/>
    </w:rPr>
  </w:style>
  <w:style w:type="character" w:customStyle="1" w:styleId="66">
    <w:name w:val="标题 7 字符"/>
    <w:link w:val="9"/>
    <w:semiHidden/>
    <w:qFormat/>
    <w:locked/>
    <w:uiPriority w:val="99"/>
    <w:rPr>
      <w:rFonts w:ascii="Calibri" w:hAnsi="Calibri" w:eastAsia="宋体" w:cs="Times New Roman"/>
      <w:sz w:val="24"/>
      <w:szCs w:val="24"/>
      <w:lang w:val="en-GB" w:eastAsia="ja-JP"/>
    </w:rPr>
  </w:style>
  <w:style w:type="character" w:customStyle="1" w:styleId="67">
    <w:name w:val="标题 8 字符"/>
    <w:link w:val="10"/>
    <w:semiHidden/>
    <w:qFormat/>
    <w:locked/>
    <w:uiPriority w:val="99"/>
    <w:rPr>
      <w:rFonts w:ascii="Calibri" w:hAnsi="Calibri" w:eastAsia="宋体" w:cs="Times New Roman"/>
      <w:i/>
      <w:iCs/>
      <w:sz w:val="24"/>
      <w:szCs w:val="24"/>
      <w:lang w:val="en-GB" w:eastAsia="ja-JP"/>
    </w:rPr>
  </w:style>
  <w:style w:type="character" w:customStyle="1" w:styleId="68">
    <w:name w:val="标题 9 字符"/>
    <w:link w:val="11"/>
    <w:semiHidden/>
    <w:qFormat/>
    <w:locked/>
    <w:uiPriority w:val="99"/>
    <w:rPr>
      <w:rFonts w:ascii="Cambria" w:hAnsi="Cambria" w:eastAsia="宋体" w:cs="Times New Roman"/>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字符"/>
    <w:link w:val="40"/>
    <w:semiHidden/>
    <w:qFormat/>
    <w:locked/>
    <w:uiPriority w:val="99"/>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qFormat/>
    <w:uiPriority w:val="99"/>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qFormat/>
    <w:uiPriority w:val="99"/>
    <w:pPr>
      <w:keepLines/>
      <w:ind w:left="1135" w:hanging="851"/>
    </w:pPr>
  </w:style>
  <w:style w:type="paragraph" w:customStyle="1" w:styleId="80">
    <w:name w:val="EX"/>
    <w:basedOn w:val="1"/>
    <w:qFormat/>
    <w:uiPriority w:val="99"/>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qFormat/>
    <w:uiPriority w:val="99"/>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99"/>
  </w:style>
  <w:style w:type="paragraph" w:customStyle="1" w:styleId="101">
    <w:name w:val="B4"/>
    <w:basedOn w:val="42"/>
    <w:qFormat/>
    <w:uiPriority w:val="99"/>
  </w:style>
  <w:style w:type="paragraph" w:customStyle="1" w:styleId="102">
    <w:name w:val="B5"/>
    <w:basedOn w:val="41"/>
    <w:qFormat/>
    <w:uiPriority w:val="99"/>
  </w:style>
  <w:style w:type="character" w:customStyle="1" w:styleId="103">
    <w:name w:val="页脚 字符"/>
    <w:link w:val="37"/>
    <w:semiHidden/>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字符"/>
    <w:link w:val="32"/>
    <w:qFormat/>
    <w:locked/>
    <w:uiPriority w:val="99"/>
    <w:rPr>
      <w:rFonts w:cs="Times New Roman"/>
      <w:lang w:val="en-GB" w:eastAsia="en-US" w:bidi="ar-SA"/>
    </w:rPr>
  </w:style>
  <w:style w:type="character" w:customStyle="1" w:styleId="107">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8">
    <w:name w:val="题注 字符"/>
    <w:link w:val="28"/>
    <w:qFormat/>
    <w:locked/>
    <w:uiPriority w:val="0"/>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字符1"/>
    <w:link w:val="30"/>
    <w:qFormat/>
    <w:locked/>
    <w:uiPriority w:val="0"/>
    <w:rPr>
      <w:rFonts w:ascii="Times New Roman" w:hAnsi="Times New Roman" w:cs="Times New Roman"/>
      <w:sz w:val="20"/>
      <w:szCs w:val="20"/>
      <w:lang w:val="en-GB" w:eastAsia="ja-JP"/>
    </w:rPr>
  </w:style>
  <w:style w:type="character" w:customStyle="1" w:styleId="112">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3">
    <w:name w:val="批注框文本 字符"/>
    <w:link w:val="36"/>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字符"/>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字符"/>
    <w:link w:val="38"/>
    <w:qFormat/>
    <w:locked/>
    <w:uiPriority w:val="99"/>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表段落 字符"/>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4"/>
      </w:numPr>
      <w:snapToGrid w:val="0"/>
      <w:spacing w:after="60"/>
      <w:jc w:val="both"/>
    </w:pPr>
    <w:rPr>
      <w:szCs w:val="16"/>
      <w:lang w:val="en-US" w:eastAsia="en-US"/>
    </w:rPr>
  </w:style>
  <w:style w:type="character" w:customStyle="1" w:styleId="147">
    <w:name w:val="标题 字符"/>
    <w:basedOn w:val="53"/>
    <w:link w:val="47"/>
    <w:qFormat/>
    <w:uiPriority w:val="10"/>
    <w:rPr>
      <w:rFonts w:asciiTheme="majorHAnsi" w:hAnsiTheme="majorHAnsi" w:cstheme="majorBidi"/>
      <w:b/>
      <w:bCs/>
      <w:sz w:val="32"/>
      <w:szCs w:val="32"/>
      <w:lang w:val="en-GB" w:eastAsia="ja-JP"/>
    </w:rPr>
  </w:style>
  <w:style w:type="character" w:customStyle="1" w:styleId="148">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3"/>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2"/>
    <w:link w:val="152"/>
    <w:qFormat/>
    <w:uiPriority w:val="0"/>
    <w:rPr>
      <w:rFonts w:ascii="Cambria" w:hAnsi="Cambria" w:eastAsia="宋体" w:cs="Times New Roman"/>
      <w:sz w:val="26"/>
      <w:szCs w:val="26"/>
      <w:lang w:val="en-GB" w:eastAsia="ja-JP"/>
    </w:rPr>
  </w:style>
  <w:style w:type="paragraph" w:customStyle="1" w:styleId="154">
    <w:name w:val="Agreement"/>
    <w:basedOn w:val="1"/>
    <w:next w:val="149"/>
    <w:qFormat/>
    <w:uiPriority w:val="0"/>
    <w:pPr>
      <w:numPr>
        <w:ilvl w:val="0"/>
        <w:numId w:val="5"/>
      </w:numPr>
      <w:tabs>
        <w:tab w:val="left" w:pos="1619"/>
      </w:tabs>
      <w:spacing w:before="60" w:after="0"/>
      <w:ind w:left="1619"/>
    </w:pPr>
    <w:rPr>
      <w:rFonts w:ascii="Arial" w:hAnsi="Arial" w:eastAsia="MS Mincho"/>
      <w:b/>
      <w:szCs w:val="24"/>
      <w:lang w:eastAsia="en-GB"/>
    </w:rPr>
  </w:style>
  <w:style w:type="character" w:customStyle="1" w:styleId="155">
    <w:name w:val="B1 Char1"/>
    <w:qFormat/>
    <w:uiPriority w:val="0"/>
    <w:rPr>
      <w:lang w:val="en-GB" w:eastAsia="en-US"/>
    </w:rPr>
  </w:style>
  <w:style w:type="paragraph" w:customStyle="1" w:styleId="156">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7">
    <w:name w:val="List 21"/>
    <w:basedOn w:val="135"/>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character" w:customStyle="1" w:styleId="158">
    <w:name w:val="列表段落 字符3"/>
    <w:qFormat/>
    <w:locked/>
    <w:uiPriority w:val="34"/>
    <w:rPr>
      <w:rFonts w:eastAsia="宋体"/>
      <w:lang w:eastAsia="ja-JP"/>
    </w:rPr>
  </w:style>
  <w:style w:type="paragraph" w:customStyle="1" w:styleId="159">
    <w:name w:val="x_msonormal"/>
    <w:basedOn w:val="1"/>
    <w:qFormat/>
    <w:uiPriority w:val="0"/>
    <w:pPr>
      <w:spacing w:before="100" w:beforeAutospacing="1" w:after="100" w:afterAutospacing="1"/>
    </w:pPr>
    <w:rPr>
      <w:rFonts w:ascii="Calibri" w:hAnsi="Calibri" w:cs="Calibri" w:eastAsiaTheme="minorHAnsi"/>
      <w:sz w:val="22"/>
      <w:szCs w:val="22"/>
      <w:lang w:eastAsia="en-GB"/>
    </w:rPr>
  </w:style>
  <w:style w:type="paragraph" w:customStyle="1" w:styleId="160">
    <w:name w:val="Revision"/>
    <w:hidden/>
    <w:semiHidden/>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05ECD-8E07-4BED-9D87-C47E1D39E16C}">
  <ds:schemaRefs/>
</ds:datastoreItem>
</file>

<file path=docProps/app.xml><?xml version="1.0" encoding="utf-8"?>
<Properties xmlns="http://schemas.openxmlformats.org/officeDocument/2006/extended-properties" xmlns:vt="http://schemas.openxmlformats.org/officeDocument/2006/docPropsVTypes">
  <Template>3gpp_70</Template>
  <Company>CMCC</Company>
  <Pages>6</Pages>
  <Words>2518</Words>
  <Characters>14357</Characters>
  <Lines>119</Lines>
  <Paragraphs>33</Paragraphs>
  <TotalTime>1</TotalTime>
  <ScaleCrop>false</ScaleCrop>
  <LinksUpToDate>false</LinksUpToDate>
  <CharactersWithSpaces>16842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2019-08-16T08:26:00Z</dcterms:created>
  <dc:creator>CMCC</dc:creator>
  <cp:keywords>ESA, style sheet, Winword</cp:keywords>
  <cp:lastModifiedBy>李燕</cp:lastModifiedBy>
  <cp:lastPrinted>2013-04-02T02:18:00Z</cp:lastPrinted>
  <dcterms:modified xsi:type="dcterms:W3CDTF">2023-02-17T13:06:17Z</dcterms:modified>
  <dc:subject>Word for Windows 6.x &amp; 95+</dc:subject>
  <dc:title>ETSI stylesheet (v.7.0)</dc:title>
  <cp:revision>3941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2052-11.8.2.11716</vt:lpwstr>
  </property>
  <property fmtid="{D5CDD505-2E9C-101B-9397-08002B2CF9AE}" pid="4" name="ICV">
    <vt:lpwstr>3F0380BCA13E48129EFE8755AAD67432</vt:lpwstr>
  </property>
</Properties>
</file>